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14:paraId="7BEC0192" w14:textId="77777777" w:rsidTr="00AC4090">
        <w:trPr>
          <w:cantSplit/>
          <w:trHeight w:val="624"/>
        </w:trPr>
        <w:sdt>
          <w:sdtPr>
            <w:rPr>
              <w:noProof/>
            </w:rPr>
            <w:id w:val="-360744209"/>
            <w:placeholder>
              <w:docPart w:val="D725DE22322A48E9A3D1AECE9FA4BEA3"/>
            </w:placeholder>
            <w:date w:fullDate="2022-06-22T00:00:00Z">
              <w:dateFormat w:val="dddd dd MMMM yyyy"/>
              <w:lid w:val="en-GB"/>
              <w:storeMappedDataAs w:val="dateTime"/>
              <w:calendar w:val="gregorian"/>
            </w:date>
          </w:sdtPr>
          <w:sdtEndPr/>
          <w:sdtContent>
            <w:tc>
              <w:tcPr>
                <w:tcW w:w="10148" w:type="dxa"/>
                <w:shd w:val="clear" w:color="auto" w:fill="522380" w:themeFill="accent1"/>
                <w:vAlign w:val="bottom"/>
              </w:tcPr>
              <w:p w14:paraId="573734A8" w14:textId="44FB2F0A" w:rsidR="00AC4090" w:rsidRPr="00514B1B" w:rsidRDefault="00F2461F" w:rsidP="00F2461F">
                <w:pPr>
                  <w:pStyle w:val="DocDate"/>
                  <w:jc w:val="both"/>
                </w:pPr>
                <w:r>
                  <w:rPr>
                    <w:noProof/>
                  </w:rPr>
                  <w:t>Wednesday 22 June 2022</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14:paraId="0269D745" w14:textId="77777777" w:rsidTr="007015B5">
        <w:trPr>
          <w:cantSplit/>
          <w:trHeight w:hRule="exact" w:val="1843"/>
        </w:trPr>
        <w:tc>
          <w:tcPr>
            <w:tcW w:w="397" w:type="dxa"/>
            <w:tcBorders>
              <w:bottom w:val="single" w:sz="48" w:space="0" w:color="522380" w:themeColor="accent1"/>
            </w:tcBorders>
            <w:tcMar>
              <w:bottom w:w="425" w:type="dxa"/>
            </w:tcMar>
          </w:tcPr>
          <w:p w14:paraId="28053780" w14:textId="77777777" w:rsidR="00EB21F3" w:rsidRPr="00F114E9" w:rsidRDefault="00FD093E" w:rsidP="00514B1B">
            <w:pPr>
              <w:pStyle w:val="Draft"/>
            </w:pPr>
            <w:r>
              <w:rPr>
                <w:noProof/>
                <w:lang w:eastAsia="en-GB"/>
              </w:rPr>
              <mc:AlternateContent>
                <mc:Choice Requires="wps">
                  <w:drawing>
                    <wp:inline distT="0" distB="0" distL="0" distR="0" wp14:anchorId="7E1E20E2" wp14:editId="64E088CB">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83980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" fillcolor="#ec098d [3206]" stroked="f" strokeweight="1.5pt">
                      <o:lock v:ext="edit" aspectratio="t"/>
                      <w10:anchorlock/>
                    </v:shape>
                  </w:pict>
                </mc:Fallback>
              </mc:AlternateContent>
            </w:r>
          </w:p>
        </w:tc>
        <w:tc>
          <w:tcPr>
            <w:tcW w:w="9780" w:type="dxa"/>
            <w:tcBorders>
              <w:bottom w:val="single" w:sz="48" w:space="0" w:color="522380" w:themeColor="accent1"/>
            </w:tcBorders>
            <w:tcMar>
              <w:bottom w:w="425" w:type="dxa"/>
            </w:tcMar>
          </w:tcPr>
          <w:p w14:paraId="6B2EEDE8" w14:textId="62C030D1" w:rsidR="00EB21F3" w:rsidRPr="00873614" w:rsidRDefault="00873614" w:rsidP="00514B1B">
            <w:pPr>
              <w:pStyle w:val="DocType"/>
              <w:framePr w:hSpace="0" w:wrap="auto" w:vAnchor="margin" w:yAlign="inline"/>
              <w:suppressOverlap w:val="0"/>
            </w:pPr>
            <w:r w:rsidRPr="00873614">
              <w:rPr>
                <w:bCs/>
                <w:sz w:val="56"/>
                <w:szCs w:val="56"/>
              </w:rPr>
              <w:t xml:space="preserve">Update to the Green Finance Strategy, call for evidence </w:t>
            </w:r>
          </w:p>
        </w:tc>
      </w:tr>
      <w:tr w:rsidR="00EB21F3" w14:paraId="62BD8532" w14:textId="77777777" w:rsidTr="007073E2">
        <w:trPr>
          <w:cantSplit/>
          <w:trHeight w:val="337"/>
        </w:trPr>
        <w:tc>
          <w:tcPr>
            <w:tcW w:w="397" w:type="dxa"/>
            <w:tcBorders>
              <w:top w:val="single" w:sz="48" w:space="0" w:color="522380" w:themeColor="accent1"/>
              <w:bottom w:val="single" w:sz="48" w:space="0" w:color="522380" w:themeColor="accent1"/>
            </w:tcBorders>
            <w:tcMar>
              <w:top w:w="539" w:type="dxa"/>
              <w:bottom w:w="482" w:type="dxa"/>
            </w:tcMar>
          </w:tcPr>
          <w:p w14:paraId="31741A74" w14:textId="77777777" w:rsidR="00EB21F3" w:rsidRPr="00EB21F3" w:rsidRDefault="00B84B8B" w:rsidP="00514B1B">
            <w:pPr>
              <w:pStyle w:val="GraphicLeft"/>
            </w:pPr>
            <w:r>
              <w:rPr>
                <w:noProof/>
                <w:lang w:eastAsia="en-GB"/>
              </w:rPr>
              <mc:AlternateContent>
                <mc:Choice Requires="wps">
                  <w:drawing>
                    <wp:inline distT="0" distB="0" distL="0" distR="0" wp14:anchorId="14ECB5FB" wp14:editId="580E16AE">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D14417"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" fillcolor="#522380 [3204]" stroked="f" strokeweight="1.5p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4E27AA4F" w14:textId="6EA756E4" w:rsidR="00514B1B" w:rsidRPr="00CC10E9" w:rsidRDefault="005461A0" w:rsidP="00CC10E9">
            <w:pPr>
              <w:rPr>
                <w:color w:val="522380" w:themeColor="accent1"/>
                <w:sz w:val="40"/>
                <w:szCs w:val="40"/>
              </w:rPr>
            </w:pPr>
            <w:r w:rsidRPr="00CC10E9">
              <w:rPr>
                <w:color w:val="522380" w:themeColor="accent1"/>
                <w:sz w:val="40"/>
                <w:szCs w:val="40"/>
              </w:rPr>
              <w:t>London Councils</w:t>
            </w:r>
            <w:r w:rsidR="002E24F3" w:rsidRPr="00CC10E9">
              <w:rPr>
                <w:color w:val="522380" w:themeColor="accent1"/>
                <w:sz w:val="40"/>
                <w:szCs w:val="40"/>
              </w:rPr>
              <w:t>’</w:t>
            </w:r>
            <w:r w:rsidRPr="00CC10E9">
              <w:rPr>
                <w:color w:val="522380" w:themeColor="accent1"/>
                <w:sz w:val="40"/>
                <w:szCs w:val="40"/>
              </w:rPr>
              <w:t xml:space="preserve"> </w:t>
            </w:r>
            <w:r w:rsidR="002E24F3" w:rsidRPr="00CC10E9">
              <w:rPr>
                <w:color w:val="522380" w:themeColor="accent1"/>
                <w:sz w:val="40"/>
                <w:szCs w:val="40"/>
              </w:rPr>
              <w:t>r</w:t>
            </w:r>
            <w:r w:rsidR="00527398" w:rsidRPr="00CC10E9">
              <w:rPr>
                <w:color w:val="522380" w:themeColor="accent1"/>
                <w:sz w:val="40"/>
                <w:szCs w:val="40"/>
              </w:rPr>
              <w:t>esponse</w:t>
            </w:r>
            <w:r w:rsidR="00F27152" w:rsidRPr="00CC10E9">
              <w:rPr>
                <w:color w:val="522380" w:themeColor="accent1"/>
                <w:sz w:val="40"/>
                <w:szCs w:val="40"/>
              </w:rPr>
              <w:t xml:space="preserve"> </w:t>
            </w:r>
            <w:r w:rsidR="002E24F3" w:rsidRPr="00CC10E9">
              <w:rPr>
                <w:color w:val="522380" w:themeColor="accent1"/>
                <w:sz w:val="40"/>
                <w:szCs w:val="40"/>
              </w:rPr>
              <w:t xml:space="preserve">to </w:t>
            </w:r>
            <w:r w:rsidR="00873614">
              <w:rPr>
                <w:color w:val="522380" w:themeColor="accent1"/>
                <w:sz w:val="40"/>
                <w:szCs w:val="40"/>
              </w:rPr>
              <w:t>Government Call for Evidence</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EA414C" w14:paraId="6EC5D23D" w14:textId="77777777" w:rsidTr="00EC4C97">
        <w:trPr>
          <w:trHeight w:hRule="exact" w:val="113"/>
        </w:trPr>
        <w:tc>
          <w:tcPr>
            <w:tcW w:w="397" w:type="dxa"/>
          </w:tcPr>
          <w:p w14:paraId="1BABA99B" w14:textId="77777777" w:rsidR="00B34F65" w:rsidRPr="00EA414C" w:rsidRDefault="00B34F65" w:rsidP="00904E4A">
            <w:pPr>
              <w:pStyle w:val="Spacer"/>
            </w:pPr>
          </w:p>
        </w:tc>
        <w:tc>
          <w:tcPr>
            <w:tcW w:w="9384" w:type="dxa"/>
          </w:tcPr>
          <w:p w14:paraId="23965C01" w14:textId="77777777" w:rsidR="00B34F65" w:rsidRPr="00EA414C" w:rsidRDefault="00B34F65" w:rsidP="00904E4A">
            <w:pPr>
              <w:pStyle w:val="Spacer"/>
            </w:pPr>
          </w:p>
        </w:tc>
        <w:tc>
          <w:tcPr>
            <w:tcW w:w="396" w:type="dxa"/>
          </w:tcPr>
          <w:p w14:paraId="5A544AC8" w14:textId="77777777" w:rsidR="00B34F65" w:rsidRPr="00EA414C" w:rsidRDefault="00B34F65" w:rsidP="00904E4A">
            <w:pPr>
              <w:pStyle w:val="Spacer"/>
            </w:pPr>
          </w:p>
        </w:tc>
      </w:tr>
      <w:tr w:rsidR="00B34F65" w:rsidRPr="004A22B8" w14:paraId="08702AEB" w14:textId="77777777" w:rsidTr="00B34F65">
        <w:trPr>
          <w:trHeight w:val="283"/>
        </w:trPr>
        <w:tc>
          <w:tcPr>
            <w:tcW w:w="397" w:type="dxa"/>
          </w:tcPr>
          <w:p w14:paraId="361F6A78" w14:textId="77777777" w:rsidR="00B34F65" w:rsidRPr="004A22B8" w:rsidRDefault="00B34F65" w:rsidP="0021493E">
            <w:pPr>
              <w:pStyle w:val="TableTextLeft"/>
              <w:rPr>
                <w:sz w:val="22"/>
                <w:szCs w:val="22"/>
              </w:rPr>
            </w:pPr>
          </w:p>
        </w:tc>
        <w:tc>
          <w:tcPr>
            <w:tcW w:w="9384" w:type="dxa"/>
          </w:tcPr>
          <w:p w14:paraId="6E443E41" w14:textId="4A88D1C5" w:rsidR="00EC4C97" w:rsidRPr="004A22B8" w:rsidRDefault="00FB4122" w:rsidP="00A03785">
            <w:pPr>
              <w:pStyle w:val="HighlightText"/>
              <w:rPr>
                <w:sz w:val="22"/>
                <w:szCs w:val="22"/>
              </w:rPr>
            </w:pPr>
            <w:r w:rsidRPr="004A22B8">
              <w:rPr>
                <w:rFonts w:ascii="Arial" w:hAnsi="Arial"/>
                <w:b/>
                <w:sz w:val="22"/>
                <w:szCs w:val="22"/>
              </w:rPr>
              <w:t xml:space="preserve">London Councils represents London’s 32 borough councils and the City of London. It is a cross-party organisation that works on behalf of </w:t>
            </w:r>
            <w:r w:rsidR="002D1022" w:rsidRPr="004A22B8">
              <w:rPr>
                <w:rFonts w:ascii="Arial" w:hAnsi="Arial"/>
                <w:b/>
                <w:sz w:val="22"/>
                <w:szCs w:val="22"/>
              </w:rPr>
              <w:t>all</w:t>
            </w:r>
            <w:r w:rsidRPr="004A22B8">
              <w:rPr>
                <w:rFonts w:ascii="Arial" w:hAnsi="Arial"/>
                <w:b/>
                <w:sz w:val="22"/>
                <w:szCs w:val="22"/>
              </w:rPr>
              <w:t xml:space="preserve"> its member authorities regardless of political persuasion.</w:t>
            </w:r>
          </w:p>
        </w:tc>
        <w:tc>
          <w:tcPr>
            <w:tcW w:w="396" w:type="dxa"/>
          </w:tcPr>
          <w:p w14:paraId="4B153A73" w14:textId="77777777" w:rsidR="00B34F65" w:rsidRPr="004A22B8" w:rsidRDefault="00B34F65" w:rsidP="0021493E">
            <w:pPr>
              <w:pStyle w:val="TableTextLeft"/>
              <w:rPr>
                <w:sz w:val="22"/>
                <w:szCs w:val="22"/>
              </w:rPr>
            </w:pPr>
          </w:p>
        </w:tc>
      </w:tr>
      <w:tr w:rsidR="00B34F65" w:rsidRPr="004A22B8" w14:paraId="5A3A3CED" w14:textId="77777777" w:rsidTr="00EC4C97">
        <w:trPr>
          <w:trHeight w:hRule="exact" w:val="170"/>
        </w:trPr>
        <w:tc>
          <w:tcPr>
            <w:tcW w:w="397" w:type="dxa"/>
          </w:tcPr>
          <w:p w14:paraId="522B2461" w14:textId="77777777" w:rsidR="00B34F65" w:rsidRPr="004A22B8" w:rsidRDefault="00B34F65" w:rsidP="00C73F78">
            <w:pPr>
              <w:pStyle w:val="Spacer"/>
              <w:rPr>
                <w:sz w:val="22"/>
                <w:szCs w:val="22"/>
              </w:rPr>
            </w:pPr>
          </w:p>
        </w:tc>
        <w:tc>
          <w:tcPr>
            <w:tcW w:w="9384" w:type="dxa"/>
          </w:tcPr>
          <w:p w14:paraId="5C1F811E" w14:textId="77777777" w:rsidR="00B34F65" w:rsidRPr="004A22B8" w:rsidRDefault="00B34F65" w:rsidP="00C73F78">
            <w:pPr>
              <w:pStyle w:val="Spacer"/>
              <w:rPr>
                <w:sz w:val="22"/>
                <w:szCs w:val="22"/>
              </w:rPr>
            </w:pPr>
          </w:p>
        </w:tc>
        <w:tc>
          <w:tcPr>
            <w:tcW w:w="396" w:type="dxa"/>
          </w:tcPr>
          <w:p w14:paraId="3FA93A9C" w14:textId="77777777" w:rsidR="00B34F65" w:rsidRPr="004A22B8" w:rsidRDefault="00B34F65" w:rsidP="00C73F78">
            <w:pPr>
              <w:pStyle w:val="Spacer"/>
              <w:rPr>
                <w:sz w:val="22"/>
                <w:szCs w:val="22"/>
              </w:rPr>
            </w:pPr>
          </w:p>
        </w:tc>
      </w:tr>
    </w:tbl>
    <w:p w14:paraId="7CF45234" w14:textId="77777777" w:rsidR="00894B8C" w:rsidRDefault="00894B8C" w:rsidP="007067D1">
      <w:pPr>
        <w:rPr>
          <w:rFonts w:eastAsia="Times New Roman" w:cstheme="minorHAnsi"/>
          <w:lang w:eastAsia="en-GB"/>
        </w:rPr>
      </w:pPr>
    </w:p>
    <w:p w14:paraId="239C154D" w14:textId="56D98D27" w:rsidR="007067D1" w:rsidRPr="005A5FB7" w:rsidRDefault="00894B8C" w:rsidP="007067D1">
      <w:pPr>
        <w:rPr>
          <w:rFonts w:eastAsia="Times New Roman" w:cstheme="minorHAnsi"/>
          <w:sz w:val="22"/>
          <w:szCs w:val="22"/>
          <w:lang w:eastAsia="en-GB"/>
        </w:rPr>
      </w:pPr>
      <w:r w:rsidRPr="005A5FB7">
        <w:rPr>
          <w:rFonts w:eastAsia="Times New Roman" w:cstheme="minorHAnsi"/>
          <w:sz w:val="22"/>
          <w:szCs w:val="22"/>
          <w:lang w:eastAsia="en-GB"/>
        </w:rPr>
        <w:t xml:space="preserve">London boroughs are strongly committed to </w:t>
      </w:r>
      <w:r w:rsidR="002307F6" w:rsidRPr="005A5FB7">
        <w:rPr>
          <w:rFonts w:eastAsia="Times New Roman" w:cstheme="minorHAnsi"/>
          <w:sz w:val="22"/>
          <w:szCs w:val="22"/>
          <w:lang w:eastAsia="en-GB"/>
        </w:rPr>
        <w:t xml:space="preserve">investment in </w:t>
      </w:r>
      <w:r w:rsidRPr="005A5FB7">
        <w:rPr>
          <w:rFonts w:eastAsia="Times New Roman" w:cstheme="minorHAnsi"/>
          <w:sz w:val="22"/>
          <w:szCs w:val="22"/>
          <w:lang w:eastAsia="en-GB"/>
        </w:rPr>
        <w:t>climate change mitigation and adaptation. Many have declared a climate emergency, and all will be making changes in their own local areas through climate action plans. They are also working together in our seven collaborative climate programmes to share best practice, join up activity, and grasp economies of scale. Lack of finance is a major impediment to implementing these programmes and we need to work in partnership with private finance to bridge the funding, skills and operational gaps need</w:t>
      </w:r>
      <w:r w:rsidR="005E6C30" w:rsidRPr="005A5FB7">
        <w:rPr>
          <w:rFonts w:eastAsia="Times New Roman" w:cstheme="minorHAnsi"/>
          <w:sz w:val="22"/>
          <w:szCs w:val="22"/>
          <w:lang w:eastAsia="en-GB"/>
        </w:rPr>
        <w:t>ed</w:t>
      </w:r>
      <w:r w:rsidRPr="005A5FB7">
        <w:rPr>
          <w:rFonts w:eastAsia="Times New Roman" w:cstheme="minorHAnsi"/>
          <w:sz w:val="22"/>
          <w:szCs w:val="22"/>
          <w:lang w:eastAsia="en-GB"/>
        </w:rPr>
        <w:t xml:space="preserve"> to mobilise resources.</w:t>
      </w:r>
      <w:r w:rsidR="00370111">
        <w:rPr>
          <w:rFonts w:eastAsia="Times New Roman" w:cstheme="minorHAnsi"/>
          <w:sz w:val="22"/>
          <w:szCs w:val="22"/>
          <w:lang w:eastAsia="en-GB"/>
        </w:rPr>
        <w:t xml:space="preserve"> We work closely with the GLA.</w:t>
      </w:r>
    </w:p>
    <w:p w14:paraId="3F186492" w14:textId="08AF50E9" w:rsidR="00894B8C" w:rsidRDefault="00894B8C" w:rsidP="007067D1">
      <w:pPr>
        <w:rPr>
          <w:rFonts w:cstheme="minorHAnsi"/>
          <w:color w:val="000000"/>
          <w:sz w:val="22"/>
          <w:szCs w:val="22"/>
          <w:shd w:val="clear" w:color="auto" w:fill="FFFFFF"/>
        </w:rPr>
      </w:pPr>
      <w:r w:rsidRPr="005A5FB7">
        <w:rPr>
          <w:rFonts w:cstheme="minorHAnsi"/>
          <w:color w:val="000000"/>
          <w:sz w:val="22"/>
          <w:szCs w:val="22"/>
          <w:shd w:val="clear" w:color="auto" w:fill="FFFFFF"/>
        </w:rPr>
        <w:t xml:space="preserve">We also know that to maximise the boroughs' contribution, national government must put in place a clear </w:t>
      </w:r>
      <w:r w:rsidR="005E6C30" w:rsidRPr="005A5FB7">
        <w:rPr>
          <w:rFonts w:cstheme="minorHAnsi"/>
          <w:color w:val="000000"/>
          <w:sz w:val="22"/>
          <w:szCs w:val="22"/>
          <w:shd w:val="clear" w:color="auto" w:fill="FFFFFF"/>
        </w:rPr>
        <w:t xml:space="preserve">policy </w:t>
      </w:r>
      <w:r w:rsidRPr="005A5FB7">
        <w:rPr>
          <w:rFonts w:cstheme="minorHAnsi"/>
          <w:color w:val="000000"/>
          <w:sz w:val="22"/>
          <w:szCs w:val="22"/>
          <w:shd w:val="clear" w:color="auto" w:fill="FFFFFF"/>
        </w:rPr>
        <w:t xml:space="preserve">framework for </w:t>
      </w:r>
      <w:r w:rsidR="005E6C30" w:rsidRPr="005A5FB7">
        <w:rPr>
          <w:rFonts w:cstheme="minorHAnsi"/>
          <w:color w:val="000000"/>
          <w:sz w:val="22"/>
          <w:szCs w:val="22"/>
          <w:shd w:val="clear" w:color="auto" w:fill="FFFFFF"/>
        </w:rPr>
        <w:t xml:space="preserve">ensuring that there are economic and financial rewards for projects that deliver </w:t>
      </w:r>
      <w:r w:rsidRPr="005A5FB7">
        <w:rPr>
          <w:rFonts w:cstheme="minorHAnsi"/>
          <w:color w:val="000000"/>
          <w:sz w:val="22"/>
          <w:szCs w:val="22"/>
          <w:shd w:val="clear" w:color="auto" w:fill="FFFFFF"/>
        </w:rPr>
        <w:t xml:space="preserve">climate and just </w:t>
      </w:r>
      <w:r w:rsidR="005E6C30" w:rsidRPr="005A5FB7">
        <w:rPr>
          <w:rFonts w:cstheme="minorHAnsi"/>
          <w:color w:val="000000"/>
          <w:sz w:val="22"/>
          <w:szCs w:val="22"/>
          <w:shd w:val="clear" w:color="auto" w:fill="FFFFFF"/>
        </w:rPr>
        <w:t>transition</w:t>
      </w:r>
      <w:r w:rsidR="003D28CC" w:rsidRPr="005A5FB7">
        <w:rPr>
          <w:rFonts w:cstheme="minorHAnsi"/>
          <w:color w:val="000000"/>
          <w:sz w:val="22"/>
          <w:szCs w:val="22"/>
          <w:shd w:val="clear" w:color="auto" w:fill="FFFFFF"/>
        </w:rPr>
        <w:t xml:space="preserve"> </w:t>
      </w:r>
      <w:r w:rsidR="005E6C30" w:rsidRPr="005A5FB7">
        <w:rPr>
          <w:rFonts w:cstheme="minorHAnsi"/>
          <w:color w:val="000000"/>
          <w:sz w:val="22"/>
          <w:szCs w:val="22"/>
          <w:shd w:val="clear" w:color="auto" w:fill="FFFFFF"/>
        </w:rPr>
        <w:t>outcomes</w:t>
      </w:r>
      <w:r w:rsidRPr="005A5FB7">
        <w:rPr>
          <w:rFonts w:cstheme="minorHAnsi"/>
          <w:color w:val="000000"/>
          <w:sz w:val="22"/>
          <w:szCs w:val="22"/>
          <w:shd w:val="clear" w:color="auto" w:fill="FFFFFF"/>
        </w:rPr>
        <w:t>.</w:t>
      </w:r>
      <w:r w:rsidR="00F037E4">
        <w:rPr>
          <w:rFonts w:cstheme="minorHAnsi"/>
          <w:color w:val="000000"/>
          <w:sz w:val="22"/>
          <w:szCs w:val="22"/>
          <w:shd w:val="clear" w:color="auto" w:fill="FFFFFF"/>
        </w:rPr>
        <w:t xml:space="preserve"> Development finance support is needed </w:t>
      </w:r>
      <w:r w:rsidR="00A93600">
        <w:rPr>
          <w:rFonts w:cstheme="minorHAnsi"/>
          <w:color w:val="000000"/>
          <w:sz w:val="22"/>
          <w:szCs w:val="22"/>
          <w:shd w:val="clear" w:color="auto" w:fill="FFFFFF"/>
        </w:rPr>
        <w:t>if private capital is to be leveraged to ensure projects have</w:t>
      </w:r>
      <w:r w:rsidR="00BD2801">
        <w:rPr>
          <w:rFonts w:cstheme="minorHAnsi"/>
          <w:color w:val="000000"/>
          <w:sz w:val="22"/>
          <w:szCs w:val="22"/>
          <w:shd w:val="clear" w:color="auto" w:fill="FFFFFF"/>
        </w:rPr>
        <w:t xml:space="preserve"> a</w:t>
      </w:r>
      <w:r w:rsidR="00A93600">
        <w:rPr>
          <w:rFonts w:cstheme="minorHAnsi"/>
          <w:color w:val="000000"/>
          <w:sz w:val="22"/>
          <w:szCs w:val="22"/>
          <w:shd w:val="clear" w:color="auto" w:fill="FFFFFF"/>
        </w:rPr>
        <w:t xml:space="preserve"> risk-return profile that private investors </w:t>
      </w:r>
      <w:r w:rsidR="0060100E">
        <w:rPr>
          <w:rFonts w:cstheme="minorHAnsi"/>
          <w:color w:val="000000"/>
          <w:sz w:val="22"/>
          <w:szCs w:val="22"/>
          <w:shd w:val="clear" w:color="auto" w:fill="FFFFFF"/>
        </w:rPr>
        <w:t>will find acceptable.</w:t>
      </w:r>
    </w:p>
    <w:p w14:paraId="48BFBD41" w14:textId="272AFBDA" w:rsidR="00BD2801" w:rsidRPr="005A5FB7" w:rsidRDefault="00BD2801" w:rsidP="007067D1">
      <w:pPr>
        <w:rPr>
          <w:rFonts w:eastAsia="Times New Roman" w:cstheme="minorHAnsi"/>
          <w:sz w:val="22"/>
          <w:szCs w:val="22"/>
          <w:lang w:eastAsia="en-GB"/>
        </w:rPr>
      </w:pPr>
      <w:r>
        <w:rPr>
          <w:rFonts w:cstheme="minorHAnsi"/>
          <w:color w:val="000000"/>
          <w:sz w:val="22"/>
          <w:szCs w:val="22"/>
          <w:shd w:val="clear" w:color="auto" w:fill="FFFFFF"/>
        </w:rPr>
        <w:t>The below is a London Councils response to the relevant questions in the Government’s Call for Evidence.</w:t>
      </w:r>
    </w:p>
    <w:p w14:paraId="1EBB084E" w14:textId="6542E178" w:rsidR="00AF5AD7" w:rsidRPr="005A5FB7" w:rsidRDefault="00AF5AD7" w:rsidP="007067D1">
      <w:pPr>
        <w:autoSpaceDE w:val="0"/>
        <w:autoSpaceDN w:val="0"/>
        <w:adjustRightInd w:val="0"/>
        <w:spacing w:line="240" w:lineRule="auto"/>
        <w:contextualSpacing/>
        <w:jc w:val="both"/>
        <w:rPr>
          <w:rFonts w:cstheme="minorHAnsi"/>
          <w:sz w:val="22"/>
          <w:szCs w:val="22"/>
        </w:rPr>
      </w:pPr>
    </w:p>
    <w:p w14:paraId="3C8A789D" w14:textId="77777777" w:rsidR="00873614" w:rsidRPr="005A5FB7" w:rsidRDefault="00873614" w:rsidP="00873614">
      <w:pPr>
        <w:rPr>
          <w:rFonts w:cstheme="minorHAnsi"/>
          <w:b/>
          <w:bCs/>
          <w:sz w:val="22"/>
          <w:szCs w:val="22"/>
        </w:rPr>
      </w:pPr>
      <w:r w:rsidRPr="005A5FB7">
        <w:rPr>
          <w:rFonts w:cstheme="minorHAnsi"/>
          <w:b/>
          <w:bCs/>
          <w:sz w:val="22"/>
          <w:szCs w:val="22"/>
        </w:rPr>
        <w:t>Local Authority questions:</w:t>
      </w:r>
    </w:p>
    <w:p w14:paraId="368834E6" w14:textId="5E65629D" w:rsidR="00136681" w:rsidRPr="005A5FB7" w:rsidRDefault="00873614" w:rsidP="00873614">
      <w:pPr>
        <w:rPr>
          <w:rFonts w:cstheme="minorHAnsi"/>
          <w:b/>
          <w:bCs/>
          <w:sz w:val="22"/>
          <w:szCs w:val="22"/>
        </w:rPr>
      </w:pPr>
      <w:r w:rsidRPr="005A5FB7">
        <w:rPr>
          <w:rFonts w:cstheme="minorHAnsi"/>
          <w:b/>
          <w:bCs/>
          <w:sz w:val="22"/>
          <w:szCs w:val="22"/>
        </w:rPr>
        <w:t xml:space="preserve">17. How can the UK financial sector support the delivery of the UK’s climate and environmental objectives at the local level, whilst also benefitting local growth and communities? </w:t>
      </w:r>
    </w:p>
    <w:p w14:paraId="2A1C167B" w14:textId="00DFBD3D" w:rsidR="00873614" w:rsidRPr="005A5FB7" w:rsidRDefault="00873614" w:rsidP="00873614">
      <w:pPr>
        <w:rPr>
          <w:rFonts w:cstheme="minorHAnsi"/>
          <w:sz w:val="22"/>
          <w:szCs w:val="22"/>
        </w:rPr>
      </w:pPr>
      <w:r w:rsidRPr="005A5FB7">
        <w:rPr>
          <w:rFonts w:cstheme="minorHAnsi"/>
          <w:sz w:val="22"/>
          <w:szCs w:val="22"/>
        </w:rPr>
        <w:t>The UK financial sector can support local government in three important ways.</w:t>
      </w:r>
    </w:p>
    <w:p w14:paraId="1297373E" w14:textId="7CC15700" w:rsidR="00873614" w:rsidRPr="000416E7" w:rsidRDefault="00873614" w:rsidP="00873614">
      <w:pPr>
        <w:pStyle w:val="ListParagraph"/>
        <w:numPr>
          <w:ilvl w:val="0"/>
          <w:numId w:val="36"/>
        </w:numPr>
        <w:spacing w:after="160" w:line="259" w:lineRule="auto"/>
        <w:contextualSpacing/>
        <w:rPr>
          <w:rFonts w:asciiTheme="majorHAnsi" w:hAnsiTheme="majorHAnsi" w:cstheme="majorHAnsi"/>
        </w:rPr>
      </w:pPr>
      <w:r w:rsidRPr="000C7FD8">
        <w:rPr>
          <w:rFonts w:asciiTheme="majorHAnsi" w:hAnsiTheme="majorHAnsi" w:cstheme="majorHAnsi"/>
          <w:b/>
          <w:bCs/>
        </w:rPr>
        <w:t>Quantum of finance</w:t>
      </w:r>
      <w:r w:rsidRPr="000416E7">
        <w:rPr>
          <w:rFonts w:asciiTheme="majorHAnsi" w:hAnsiTheme="majorHAnsi" w:cstheme="majorHAnsi"/>
        </w:rPr>
        <w:t>: Private finance is needed to bridge the funding gap between the net-zero investment needs a</w:t>
      </w:r>
      <w:r w:rsidR="00BD2801">
        <w:rPr>
          <w:rFonts w:asciiTheme="majorHAnsi" w:hAnsiTheme="majorHAnsi" w:cstheme="majorHAnsi"/>
        </w:rPr>
        <w:t>s well as</w:t>
      </w:r>
      <w:r w:rsidRPr="000416E7">
        <w:rPr>
          <w:rFonts w:asciiTheme="majorHAnsi" w:hAnsiTheme="majorHAnsi" w:cstheme="majorHAnsi"/>
        </w:rPr>
        <w:t xml:space="preserve"> the resources available from grants and local </w:t>
      </w:r>
      <w:r w:rsidR="00E54593" w:rsidRPr="000416E7">
        <w:rPr>
          <w:rFonts w:asciiTheme="majorHAnsi" w:hAnsiTheme="majorHAnsi" w:cstheme="majorHAnsi"/>
        </w:rPr>
        <w:t>taxpayers</w:t>
      </w:r>
      <w:r w:rsidRPr="000416E7">
        <w:rPr>
          <w:rFonts w:asciiTheme="majorHAnsi" w:hAnsiTheme="majorHAnsi" w:cstheme="majorHAnsi"/>
        </w:rPr>
        <w:t>.</w:t>
      </w:r>
    </w:p>
    <w:p w14:paraId="4E2EEEBC" w14:textId="6AD92F7F" w:rsidR="00873614" w:rsidRPr="000416E7" w:rsidRDefault="00873614" w:rsidP="00873614">
      <w:pPr>
        <w:pStyle w:val="ListParagraph"/>
        <w:numPr>
          <w:ilvl w:val="0"/>
          <w:numId w:val="36"/>
        </w:numPr>
        <w:spacing w:after="160" w:line="259" w:lineRule="auto"/>
        <w:contextualSpacing/>
        <w:rPr>
          <w:rFonts w:asciiTheme="majorHAnsi" w:hAnsiTheme="majorHAnsi" w:cstheme="majorHAnsi"/>
        </w:rPr>
      </w:pPr>
      <w:r w:rsidRPr="000C7FD8">
        <w:rPr>
          <w:rFonts w:asciiTheme="majorHAnsi" w:hAnsiTheme="majorHAnsi" w:cstheme="majorHAnsi"/>
          <w:b/>
          <w:bCs/>
        </w:rPr>
        <w:lastRenderedPageBreak/>
        <w:t>Suitable instruments</w:t>
      </w:r>
      <w:r w:rsidRPr="000416E7">
        <w:rPr>
          <w:rFonts w:asciiTheme="majorHAnsi" w:hAnsiTheme="majorHAnsi" w:cstheme="majorHAnsi"/>
        </w:rPr>
        <w:t>: Private finance needs to design financial products that meet local governments’ funding needs. Local government assets are typically long-lived, place</w:t>
      </w:r>
      <w:r w:rsidR="003D28CC" w:rsidRPr="000416E7">
        <w:rPr>
          <w:rFonts w:asciiTheme="majorHAnsi" w:hAnsiTheme="majorHAnsi" w:cstheme="majorHAnsi"/>
        </w:rPr>
        <w:t>-</w:t>
      </w:r>
      <w:r w:rsidRPr="000416E7">
        <w:rPr>
          <w:rFonts w:asciiTheme="majorHAnsi" w:hAnsiTheme="majorHAnsi" w:cstheme="majorHAnsi"/>
        </w:rPr>
        <w:t xml:space="preserve">based and might consist of </w:t>
      </w:r>
      <w:r w:rsidR="00DF412C" w:rsidRPr="000416E7">
        <w:rPr>
          <w:rFonts w:asciiTheme="majorHAnsi" w:hAnsiTheme="majorHAnsi" w:cstheme="majorHAnsi"/>
        </w:rPr>
        <w:t>many</w:t>
      </w:r>
      <w:r w:rsidRPr="000416E7">
        <w:rPr>
          <w:rFonts w:asciiTheme="majorHAnsi" w:hAnsiTheme="majorHAnsi" w:cstheme="majorHAnsi"/>
        </w:rPr>
        <w:t xml:space="preserve"> individually small assets (like buildings or schools)</w:t>
      </w:r>
      <w:r w:rsidR="008019C6" w:rsidRPr="000416E7">
        <w:rPr>
          <w:rFonts w:asciiTheme="majorHAnsi" w:hAnsiTheme="majorHAnsi" w:cstheme="majorHAnsi"/>
        </w:rPr>
        <w:t xml:space="preserve"> that need aggregation before being suitable for </w:t>
      </w:r>
      <w:r w:rsidR="003D28CC" w:rsidRPr="000416E7">
        <w:rPr>
          <w:rFonts w:asciiTheme="majorHAnsi" w:hAnsiTheme="majorHAnsi" w:cstheme="majorHAnsi"/>
        </w:rPr>
        <w:t>institutional funding</w:t>
      </w:r>
      <w:r w:rsidR="008019C6" w:rsidRPr="000416E7">
        <w:rPr>
          <w:rFonts w:asciiTheme="majorHAnsi" w:hAnsiTheme="majorHAnsi" w:cstheme="majorHAnsi"/>
        </w:rPr>
        <w:t>.</w:t>
      </w:r>
    </w:p>
    <w:p w14:paraId="79897863" w14:textId="414664DD" w:rsidR="00873614" w:rsidRPr="000416E7" w:rsidRDefault="00CB3948" w:rsidP="00873614">
      <w:pPr>
        <w:pStyle w:val="ListParagraph"/>
        <w:numPr>
          <w:ilvl w:val="0"/>
          <w:numId w:val="36"/>
        </w:numPr>
        <w:spacing w:after="160" w:line="259" w:lineRule="auto"/>
        <w:contextualSpacing/>
        <w:rPr>
          <w:rFonts w:asciiTheme="majorHAnsi" w:hAnsiTheme="majorHAnsi" w:cstheme="majorHAnsi"/>
        </w:rPr>
      </w:pPr>
      <w:r w:rsidRPr="000C7FD8">
        <w:rPr>
          <w:rFonts w:asciiTheme="majorHAnsi" w:hAnsiTheme="majorHAnsi" w:cstheme="majorHAnsi"/>
          <w:b/>
          <w:bCs/>
        </w:rPr>
        <w:t>Place based investment</w:t>
      </w:r>
      <w:r w:rsidR="00873614" w:rsidRPr="000416E7">
        <w:rPr>
          <w:rFonts w:asciiTheme="majorHAnsi" w:hAnsiTheme="majorHAnsi" w:cstheme="majorHAnsi"/>
        </w:rPr>
        <w:t xml:space="preserve">: Support local government efforts to </w:t>
      </w:r>
      <w:r w:rsidR="00D95D90">
        <w:rPr>
          <w:rFonts w:asciiTheme="majorHAnsi" w:hAnsiTheme="majorHAnsi" w:cstheme="majorHAnsi"/>
        </w:rPr>
        <w:t>encourage</w:t>
      </w:r>
      <w:r w:rsidR="008B1A2F">
        <w:rPr>
          <w:rFonts w:asciiTheme="majorHAnsi" w:hAnsiTheme="majorHAnsi" w:cstheme="majorHAnsi"/>
        </w:rPr>
        <w:t xml:space="preserve"> local economies</w:t>
      </w:r>
      <w:r w:rsidR="008019C6" w:rsidRPr="000416E7">
        <w:rPr>
          <w:rFonts w:asciiTheme="majorHAnsi" w:hAnsiTheme="majorHAnsi" w:cstheme="majorHAnsi"/>
        </w:rPr>
        <w:t>.</w:t>
      </w:r>
      <w:r w:rsidR="00873614" w:rsidRPr="000416E7">
        <w:rPr>
          <w:rFonts w:asciiTheme="majorHAnsi" w:hAnsiTheme="majorHAnsi" w:cstheme="majorHAnsi"/>
        </w:rPr>
        <w:t xml:space="preserve"> </w:t>
      </w:r>
      <w:r w:rsidR="008B1A2F">
        <w:rPr>
          <w:rFonts w:asciiTheme="majorHAnsi" w:hAnsiTheme="majorHAnsi" w:cstheme="majorHAnsi"/>
        </w:rPr>
        <w:t>This can be through a mixture of investment, job creation and</w:t>
      </w:r>
      <w:r w:rsidR="00A62A34">
        <w:rPr>
          <w:rFonts w:asciiTheme="majorHAnsi" w:hAnsiTheme="majorHAnsi" w:cstheme="majorHAnsi"/>
        </w:rPr>
        <w:t xml:space="preserve"> supporting policy development</w:t>
      </w:r>
      <w:r w:rsidR="008019C6" w:rsidRPr="000416E7">
        <w:rPr>
          <w:rFonts w:asciiTheme="majorHAnsi" w:hAnsiTheme="majorHAnsi" w:cstheme="majorHAnsi"/>
        </w:rPr>
        <w:t>.</w:t>
      </w:r>
    </w:p>
    <w:p w14:paraId="29DC62DB" w14:textId="4A6955D8"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u w:val="single"/>
        </w:rPr>
        <w:t>Quantum of finances:</w:t>
      </w:r>
      <w:r w:rsidRPr="000416E7">
        <w:rPr>
          <w:rFonts w:asciiTheme="majorHAnsi" w:hAnsiTheme="majorHAnsi" w:cstheme="majorHAnsi"/>
          <w:sz w:val="22"/>
          <w:szCs w:val="22"/>
        </w:rPr>
        <w:t xml:space="preserve">  </w:t>
      </w:r>
      <w:r w:rsidR="003D28CC" w:rsidRPr="000416E7">
        <w:rPr>
          <w:rFonts w:asciiTheme="majorHAnsi" w:hAnsiTheme="majorHAnsi" w:cstheme="majorHAnsi"/>
          <w:sz w:val="22"/>
          <w:szCs w:val="22"/>
        </w:rPr>
        <w:t xml:space="preserve">London boroughs </w:t>
      </w:r>
      <w:r w:rsidR="005E6C30" w:rsidRPr="000416E7">
        <w:rPr>
          <w:rFonts w:asciiTheme="majorHAnsi" w:hAnsiTheme="majorHAnsi" w:cstheme="majorHAnsi"/>
          <w:sz w:val="22"/>
          <w:szCs w:val="22"/>
        </w:rPr>
        <w:t xml:space="preserve">do not have the resources </w:t>
      </w:r>
      <w:r w:rsidRPr="000416E7">
        <w:rPr>
          <w:rFonts w:asciiTheme="majorHAnsi" w:hAnsiTheme="majorHAnsi" w:cstheme="majorHAnsi"/>
          <w:sz w:val="22"/>
          <w:szCs w:val="22"/>
        </w:rPr>
        <w:t xml:space="preserve">to fund </w:t>
      </w:r>
      <w:r w:rsidR="00DF412C" w:rsidRPr="000416E7">
        <w:rPr>
          <w:rFonts w:asciiTheme="majorHAnsi" w:hAnsiTheme="majorHAnsi" w:cstheme="majorHAnsi"/>
          <w:sz w:val="22"/>
          <w:szCs w:val="22"/>
        </w:rPr>
        <w:t>all</w:t>
      </w:r>
      <w:r w:rsidRPr="000416E7">
        <w:rPr>
          <w:rFonts w:asciiTheme="majorHAnsi" w:hAnsiTheme="majorHAnsi" w:cstheme="majorHAnsi"/>
          <w:sz w:val="22"/>
          <w:szCs w:val="22"/>
        </w:rPr>
        <w:t xml:space="preserve"> the projects required to achieve net zero targets</w:t>
      </w:r>
      <w:r w:rsidR="005E6C30" w:rsidRPr="000416E7">
        <w:rPr>
          <w:rFonts w:asciiTheme="majorHAnsi" w:hAnsiTheme="majorHAnsi" w:cstheme="majorHAnsi"/>
          <w:sz w:val="22"/>
          <w:szCs w:val="22"/>
        </w:rPr>
        <w:t xml:space="preserve"> </w:t>
      </w:r>
      <w:r w:rsidR="003D28CC" w:rsidRPr="000416E7">
        <w:rPr>
          <w:rFonts w:asciiTheme="majorHAnsi" w:hAnsiTheme="majorHAnsi" w:cstheme="majorHAnsi"/>
          <w:sz w:val="22"/>
          <w:szCs w:val="22"/>
        </w:rPr>
        <w:t xml:space="preserve">in their </w:t>
      </w:r>
      <w:r w:rsidR="005E6C30" w:rsidRPr="000416E7">
        <w:rPr>
          <w:rFonts w:asciiTheme="majorHAnsi" w:hAnsiTheme="majorHAnsi" w:cstheme="majorHAnsi"/>
          <w:sz w:val="22"/>
          <w:szCs w:val="22"/>
        </w:rPr>
        <w:t>own estate</w:t>
      </w:r>
      <w:r w:rsidR="003D28CC" w:rsidRPr="000416E7">
        <w:rPr>
          <w:rFonts w:asciiTheme="majorHAnsi" w:hAnsiTheme="majorHAnsi" w:cstheme="majorHAnsi"/>
          <w:sz w:val="22"/>
          <w:szCs w:val="22"/>
        </w:rPr>
        <w:t>s</w:t>
      </w:r>
      <w:r w:rsidR="005E6C30" w:rsidRPr="000416E7">
        <w:rPr>
          <w:rFonts w:asciiTheme="majorHAnsi" w:hAnsiTheme="majorHAnsi" w:cstheme="majorHAnsi"/>
          <w:sz w:val="22"/>
          <w:szCs w:val="22"/>
        </w:rPr>
        <w:t xml:space="preserve">, or to assist SMEs and residents </w:t>
      </w:r>
      <w:r w:rsidR="003D28CC" w:rsidRPr="000416E7">
        <w:rPr>
          <w:rFonts w:asciiTheme="majorHAnsi" w:hAnsiTheme="majorHAnsi" w:cstheme="majorHAnsi"/>
          <w:sz w:val="22"/>
          <w:szCs w:val="22"/>
        </w:rPr>
        <w:t>with</w:t>
      </w:r>
      <w:r w:rsidR="005E6C30" w:rsidRPr="000416E7">
        <w:rPr>
          <w:rFonts w:asciiTheme="majorHAnsi" w:hAnsiTheme="majorHAnsi" w:cstheme="majorHAnsi"/>
          <w:sz w:val="22"/>
          <w:szCs w:val="22"/>
        </w:rPr>
        <w:t xml:space="preserve">in </w:t>
      </w:r>
      <w:r w:rsidR="003D28CC" w:rsidRPr="000416E7">
        <w:rPr>
          <w:rFonts w:asciiTheme="majorHAnsi" w:hAnsiTheme="majorHAnsi" w:cstheme="majorHAnsi"/>
          <w:sz w:val="22"/>
          <w:szCs w:val="22"/>
        </w:rPr>
        <w:t xml:space="preserve">their </w:t>
      </w:r>
      <w:r w:rsidR="005E6C30" w:rsidRPr="000416E7">
        <w:rPr>
          <w:rFonts w:asciiTheme="majorHAnsi" w:hAnsiTheme="majorHAnsi" w:cstheme="majorHAnsi"/>
          <w:sz w:val="22"/>
          <w:szCs w:val="22"/>
        </w:rPr>
        <w:t>boundaries</w:t>
      </w:r>
      <w:r w:rsidRPr="000416E7">
        <w:rPr>
          <w:rFonts w:asciiTheme="majorHAnsi" w:hAnsiTheme="majorHAnsi" w:cstheme="majorHAnsi"/>
          <w:sz w:val="22"/>
          <w:szCs w:val="22"/>
        </w:rPr>
        <w:t xml:space="preserve">. A partnership between local authorities and private finance must be established. </w:t>
      </w:r>
      <w:r w:rsidR="003D28CC" w:rsidRPr="000416E7">
        <w:rPr>
          <w:rFonts w:asciiTheme="majorHAnsi" w:hAnsiTheme="majorHAnsi" w:cstheme="majorHAnsi"/>
          <w:sz w:val="22"/>
          <w:szCs w:val="22"/>
        </w:rPr>
        <w:t xml:space="preserve">Boroughs can </w:t>
      </w:r>
      <w:r w:rsidRPr="000416E7">
        <w:rPr>
          <w:rFonts w:asciiTheme="majorHAnsi" w:hAnsiTheme="majorHAnsi" w:cstheme="majorHAnsi"/>
          <w:sz w:val="22"/>
          <w:szCs w:val="22"/>
        </w:rPr>
        <w:t xml:space="preserve">provide a pipeline of projects that have been vetted for reliability and achievability whilst private investors can provide </w:t>
      </w:r>
      <w:r w:rsidR="005E6C30" w:rsidRPr="000416E7">
        <w:rPr>
          <w:rFonts w:asciiTheme="majorHAnsi" w:hAnsiTheme="majorHAnsi" w:cstheme="majorHAnsi"/>
          <w:sz w:val="22"/>
          <w:szCs w:val="22"/>
        </w:rPr>
        <w:t xml:space="preserve">supplementary </w:t>
      </w:r>
      <w:r w:rsidRPr="000416E7">
        <w:rPr>
          <w:rFonts w:asciiTheme="majorHAnsi" w:hAnsiTheme="majorHAnsi" w:cstheme="majorHAnsi"/>
          <w:sz w:val="22"/>
          <w:szCs w:val="22"/>
        </w:rPr>
        <w:t xml:space="preserve">funding to ensure </w:t>
      </w:r>
      <w:r w:rsidR="005E6C30" w:rsidRPr="000416E7">
        <w:rPr>
          <w:rFonts w:asciiTheme="majorHAnsi" w:hAnsiTheme="majorHAnsi" w:cstheme="majorHAnsi"/>
          <w:sz w:val="22"/>
          <w:szCs w:val="22"/>
        </w:rPr>
        <w:t>investment occurs</w:t>
      </w:r>
      <w:r w:rsidRPr="000416E7">
        <w:rPr>
          <w:rFonts w:asciiTheme="majorHAnsi" w:hAnsiTheme="majorHAnsi" w:cstheme="majorHAnsi"/>
          <w:sz w:val="22"/>
          <w:szCs w:val="22"/>
        </w:rPr>
        <w:t xml:space="preserve">. </w:t>
      </w:r>
    </w:p>
    <w:p w14:paraId="06C92CD3" w14:textId="06E311C7"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Work undertaken for the UK Cities Climate Investment Commission </w:t>
      </w:r>
      <w:r w:rsidR="005F3029">
        <w:rPr>
          <w:rFonts w:asciiTheme="majorHAnsi" w:hAnsiTheme="majorHAnsi" w:cstheme="majorHAnsi"/>
          <w:sz w:val="22"/>
          <w:szCs w:val="22"/>
        </w:rPr>
        <w:t xml:space="preserve">(UK CCIC) </w:t>
      </w:r>
      <w:r w:rsidRPr="000416E7">
        <w:rPr>
          <w:rFonts w:asciiTheme="majorHAnsi" w:hAnsiTheme="majorHAnsi" w:cstheme="majorHAnsi"/>
          <w:sz w:val="22"/>
          <w:szCs w:val="22"/>
        </w:rPr>
        <w:t xml:space="preserve">has identified an investment need of £206 billion to meet net-zero </w:t>
      </w:r>
      <w:r w:rsidR="00D95D90">
        <w:rPr>
          <w:rFonts w:asciiTheme="majorHAnsi" w:hAnsiTheme="majorHAnsi" w:cstheme="majorHAnsi"/>
          <w:sz w:val="22"/>
          <w:szCs w:val="22"/>
        </w:rPr>
        <w:t>in</w:t>
      </w:r>
      <w:r w:rsidRPr="000416E7">
        <w:rPr>
          <w:rFonts w:asciiTheme="majorHAnsi" w:hAnsiTheme="majorHAnsi" w:cstheme="majorHAnsi"/>
          <w:sz w:val="22"/>
          <w:szCs w:val="22"/>
        </w:rPr>
        <w:t xml:space="preserve"> the twelve core cities and London boroughs</w:t>
      </w:r>
      <w:r w:rsidR="000C7FD8" w:rsidRPr="000C7FD8">
        <w:rPr>
          <w:rStyle w:val="FootnoteReference"/>
          <w:rFonts w:asciiTheme="majorHAnsi" w:hAnsiTheme="majorHAnsi" w:cstheme="majorHAnsi"/>
          <w:sz w:val="22"/>
          <w:szCs w:val="22"/>
        </w:rPr>
        <w:t xml:space="preserve"> </w:t>
      </w:r>
      <w:r w:rsidR="000C7FD8" w:rsidRPr="000416E7">
        <w:rPr>
          <w:rStyle w:val="FootnoteReference"/>
          <w:rFonts w:asciiTheme="majorHAnsi" w:hAnsiTheme="majorHAnsi" w:cstheme="majorHAnsi"/>
          <w:sz w:val="22"/>
          <w:szCs w:val="22"/>
        </w:rPr>
        <w:footnoteReference w:id="2"/>
      </w:r>
      <w:r w:rsidRPr="000416E7">
        <w:rPr>
          <w:rFonts w:asciiTheme="majorHAnsi" w:hAnsiTheme="majorHAnsi" w:cstheme="majorHAnsi"/>
          <w:sz w:val="22"/>
          <w:szCs w:val="22"/>
        </w:rPr>
        <w:t>. Many of these projects could provide a reasonable long-term rate of return to private investors if the financial package is appropriately structured and if investors</w:t>
      </w:r>
      <w:r w:rsidR="008019C6" w:rsidRPr="000416E7">
        <w:rPr>
          <w:rFonts w:asciiTheme="majorHAnsi" w:hAnsiTheme="majorHAnsi" w:cstheme="majorHAnsi"/>
          <w:sz w:val="22"/>
          <w:szCs w:val="22"/>
        </w:rPr>
        <w:t>, like pension funds,</w:t>
      </w:r>
      <w:r w:rsidRPr="000416E7">
        <w:rPr>
          <w:rFonts w:asciiTheme="majorHAnsi" w:hAnsiTheme="majorHAnsi" w:cstheme="majorHAnsi"/>
          <w:sz w:val="22"/>
          <w:szCs w:val="22"/>
        </w:rPr>
        <w:t xml:space="preserve"> are looking for longer </w:t>
      </w:r>
      <w:r w:rsidR="008019C6" w:rsidRPr="000416E7">
        <w:rPr>
          <w:rFonts w:asciiTheme="majorHAnsi" w:hAnsiTheme="majorHAnsi" w:cstheme="majorHAnsi"/>
          <w:sz w:val="22"/>
          <w:szCs w:val="22"/>
        </w:rPr>
        <w:t>term investments</w:t>
      </w:r>
      <w:r w:rsidRPr="000416E7">
        <w:rPr>
          <w:rFonts w:asciiTheme="majorHAnsi" w:hAnsiTheme="majorHAnsi" w:cstheme="majorHAnsi"/>
          <w:sz w:val="22"/>
          <w:szCs w:val="22"/>
        </w:rPr>
        <w:t>.</w:t>
      </w:r>
    </w:p>
    <w:p w14:paraId="23D29F2A" w14:textId="6A6DB81E" w:rsidR="00CF4671" w:rsidRPr="000416E7" w:rsidRDefault="00CF4671" w:rsidP="00873614">
      <w:pPr>
        <w:rPr>
          <w:rFonts w:asciiTheme="majorHAnsi" w:hAnsiTheme="majorHAnsi" w:cstheme="majorHAnsi"/>
          <w:sz w:val="22"/>
          <w:szCs w:val="22"/>
        </w:rPr>
      </w:pPr>
      <w:r w:rsidRPr="000416E7">
        <w:rPr>
          <w:rFonts w:asciiTheme="majorHAnsi" w:hAnsiTheme="majorHAnsi" w:cstheme="majorHAnsi"/>
          <w:sz w:val="22"/>
          <w:szCs w:val="22"/>
        </w:rPr>
        <w:t>One London borough has remarked</w:t>
      </w:r>
      <w:r w:rsidR="00607A03" w:rsidRPr="000416E7">
        <w:rPr>
          <w:rFonts w:asciiTheme="majorHAnsi" w:hAnsiTheme="majorHAnsi" w:cstheme="majorHAnsi"/>
          <w:sz w:val="22"/>
          <w:szCs w:val="22"/>
        </w:rPr>
        <w:t xml:space="preserve">, “Development finance to bring a project to market is extremely difficult to access plus our experience is </w:t>
      </w:r>
      <w:r w:rsidR="00D95D90">
        <w:rPr>
          <w:rFonts w:asciiTheme="majorHAnsi" w:hAnsiTheme="majorHAnsi" w:cstheme="majorHAnsi"/>
          <w:sz w:val="22"/>
          <w:szCs w:val="22"/>
        </w:rPr>
        <w:t xml:space="preserve">that </w:t>
      </w:r>
      <w:r w:rsidR="00607A03" w:rsidRPr="000416E7">
        <w:rPr>
          <w:rFonts w:asciiTheme="majorHAnsi" w:hAnsiTheme="majorHAnsi" w:cstheme="majorHAnsi"/>
          <w:sz w:val="22"/>
          <w:szCs w:val="22"/>
        </w:rPr>
        <w:t>it is exclusively provided by government (e</w:t>
      </w:r>
      <w:r w:rsidR="00923C4C">
        <w:rPr>
          <w:rFonts w:asciiTheme="majorHAnsi" w:hAnsiTheme="majorHAnsi" w:cstheme="majorHAnsi"/>
          <w:sz w:val="22"/>
          <w:szCs w:val="22"/>
        </w:rPr>
        <w:t xml:space="preserve">. </w:t>
      </w:r>
      <w:r w:rsidR="00607A03" w:rsidRPr="000416E7">
        <w:rPr>
          <w:rFonts w:asciiTheme="majorHAnsi" w:hAnsiTheme="majorHAnsi" w:cstheme="majorHAnsi"/>
          <w:sz w:val="22"/>
          <w:szCs w:val="22"/>
        </w:rPr>
        <w:t>g</w:t>
      </w:r>
      <w:r w:rsidR="00923C4C">
        <w:rPr>
          <w:rFonts w:asciiTheme="majorHAnsi" w:hAnsiTheme="majorHAnsi" w:cstheme="majorHAnsi"/>
          <w:sz w:val="22"/>
          <w:szCs w:val="22"/>
        </w:rPr>
        <w:t>.</w:t>
      </w:r>
      <w:r w:rsidR="00607A03" w:rsidRPr="000416E7">
        <w:rPr>
          <w:rFonts w:asciiTheme="majorHAnsi" w:hAnsiTheme="majorHAnsi" w:cstheme="majorHAnsi"/>
          <w:sz w:val="22"/>
          <w:szCs w:val="22"/>
        </w:rPr>
        <w:t>: G</w:t>
      </w:r>
      <w:r w:rsidR="0097321D" w:rsidRPr="000416E7">
        <w:rPr>
          <w:rFonts w:asciiTheme="majorHAnsi" w:hAnsiTheme="majorHAnsi" w:cstheme="majorHAnsi"/>
          <w:sz w:val="22"/>
          <w:szCs w:val="22"/>
        </w:rPr>
        <w:t xml:space="preserve">reen </w:t>
      </w:r>
      <w:r w:rsidR="00607A03" w:rsidRPr="000416E7">
        <w:rPr>
          <w:rFonts w:asciiTheme="majorHAnsi" w:hAnsiTheme="majorHAnsi" w:cstheme="majorHAnsi"/>
          <w:sz w:val="22"/>
          <w:szCs w:val="22"/>
        </w:rPr>
        <w:t>H</w:t>
      </w:r>
      <w:r w:rsidR="0097321D" w:rsidRPr="000416E7">
        <w:rPr>
          <w:rFonts w:asciiTheme="majorHAnsi" w:hAnsiTheme="majorHAnsi" w:cstheme="majorHAnsi"/>
          <w:sz w:val="22"/>
          <w:szCs w:val="22"/>
        </w:rPr>
        <w:t xml:space="preserve">eat </w:t>
      </w:r>
      <w:r w:rsidR="00607A03" w:rsidRPr="000416E7">
        <w:rPr>
          <w:rFonts w:asciiTheme="majorHAnsi" w:hAnsiTheme="majorHAnsi" w:cstheme="majorHAnsi"/>
          <w:sz w:val="22"/>
          <w:szCs w:val="22"/>
        </w:rPr>
        <w:t>N</w:t>
      </w:r>
      <w:r w:rsidR="0097321D" w:rsidRPr="000416E7">
        <w:rPr>
          <w:rFonts w:asciiTheme="majorHAnsi" w:hAnsiTheme="majorHAnsi" w:cstheme="majorHAnsi"/>
          <w:sz w:val="22"/>
          <w:szCs w:val="22"/>
        </w:rPr>
        <w:t xml:space="preserve">etwork </w:t>
      </w:r>
      <w:r w:rsidR="00607A03" w:rsidRPr="000416E7">
        <w:rPr>
          <w:rFonts w:asciiTheme="majorHAnsi" w:hAnsiTheme="majorHAnsi" w:cstheme="majorHAnsi"/>
          <w:sz w:val="22"/>
          <w:szCs w:val="22"/>
        </w:rPr>
        <w:t>F</w:t>
      </w:r>
      <w:r w:rsidR="0097321D" w:rsidRPr="000416E7">
        <w:rPr>
          <w:rFonts w:asciiTheme="majorHAnsi" w:hAnsiTheme="majorHAnsi" w:cstheme="majorHAnsi"/>
          <w:sz w:val="22"/>
          <w:szCs w:val="22"/>
        </w:rPr>
        <w:t>und</w:t>
      </w:r>
      <w:r w:rsidR="00607A03" w:rsidRPr="000416E7">
        <w:rPr>
          <w:rFonts w:asciiTheme="majorHAnsi" w:hAnsiTheme="majorHAnsi" w:cstheme="majorHAnsi"/>
          <w:sz w:val="22"/>
          <w:szCs w:val="22"/>
        </w:rPr>
        <w:t xml:space="preserve"> Transition Scheme).</w:t>
      </w:r>
      <w:r w:rsidR="00787C06" w:rsidRPr="000416E7">
        <w:rPr>
          <w:rFonts w:asciiTheme="majorHAnsi" w:hAnsiTheme="majorHAnsi" w:cstheme="majorHAnsi"/>
          <w:sz w:val="22"/>
          <w:szCs w:val="22"/>
        </w:rPr>
        <w:t xml:space="preserve">” UK100 have indicated favourable levels of leverage </w:t>
      </w:r>
      <w:r w:rsidR="00A372F8" w:rsidRPr="000416E7">
        <w:rPr>
          <w:rFonts w:asciiTheme="majorHAnsi" w:hAnsiTheme="majorHAnsi" w:cstheme="majorHAnsi"/>
          <w:sz w:val="22"/>
          <w:szCs w:val="22"/>
        </w:rPr>
        <w:t>with £5 billion of development funds unlocking up to £100 billion of investment.</w:t>
      </w:r>
      <w:r w:rsidR="009145FE" w:rsidRPr="000416E7">
        <w:rPr>
          <w:rFonts w:asciiTheme="majorHAnsi" w:hAnsiTheme="majorHAnsi" w:cstheme="majorHAnsi"/>
          <w:sz w:val="22"/>
          <w:szCs w:val="22"/>
        </w:rPr>
        <w:t xml:space="preserve"> Local authorities have had some success from Community Municipal </w:t>
      </w:r>
      <w:r w:rsidR="002D1022" w:rsidRPr="000416E7">
        <w:rPr>
          <w:rFonts w:asciiTheme="majorHAnsi" w:hAnsiTheme="majorHAnsi" w:cstheme="majorHAnsi"/>
          <w:sz w:val="22"/>
          <w:szCs w:val="22"/>
        </w:rPr>
        <w:t>Investments,</w:t>
      </w:r>
      <w:r w:rsidR="009145FE" w:rsidRPr="000416E7">
        <w:rPr>
          <w:rFonts w:asciiTheme="majorHAnsi" w:hAnsiTheme="majorHAnsi" w:cstheme="majorHAnsi"/>
          <w:sz w:val="22"/>
          <w:szCs w:val="22"/>
        </w:rPr>
        <w:t xml:space="preserve"> but government could support research in to scaling up local investments (&gt;£1m not tested).</w:t>
      </w:r>
      <w:r w:rsidR="00215F07" w:rsidRPr="000416E7">
        <w:rPr>
          <w:rFonts w:asciiTheme="majorHAnsi" w:hAnsiTheme="majorHAnsi" w:cstheme="majorHAnsi"/>
          <w:sz w:val="22"/>
          <w:szCs w:val="22"/>
        </w:rPr>
        <w:t xml:space="preserve"> </w:t>
      </w:r>
    </w:p>
    <w:p w14:paraId="6EC95625" w14:textId="4BD50FAF"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u w:val="single"/>
        </w:rPr>
        <w:t>Suitable instruments:</w:t>
      </w:r>
      <w:r w:rsidRPr="000416E7">
        <w:rPr>
          <w:rFonts w:asciiTheme="majorHAnsi" w:hAnsiTheme="majorHAnsi" w:cstheme="majorHAnsi"/>
          <w:sz w:val="22"/>
          <w:szCs w:val="22"/>
        </w:rPr>
        <w:t xml:space="preserve"> </w:t>
      </w:r>
      <w:r w:rsidR="003D28CC" w:rsidRPr="000416E7">
        <w:rPr>
          <w:rFonts w:asciiTheme="majorHAnsi" w:hAnsiTheme="majorHAnsi" w:cstheme="majorHAnsi"/>
          <w:sz w:val="22"/>
          <w:szCs w:val="22"/>
        </w:rPr>
        <w:t xml:space="preserve">London boroughs </w:t>
      </w:r>
      <w:r w:rsidRPr="000416E7">
        <w:rPr>
          <w:rFonts w:asciiTheme="majorHAnsi" w:hAnsiTheme="majorHAnsi" w:cstheme="majorHAnsi"/>
          <w:sz w:val="22"/>
          <w:szCs w:val="22"/>
        </w:rPr>
        <w:t xml:space="preserve">need </w:t>
      </w:r>
      <w:r w:rsidR="008019C6" w:rsidRPr="000416E7">
        <w:rPr>
          <w:rFonts w:asciiTheme="majorHAnsi" w:hAnsiTheme="majorHAnsi" w:cstheme="majorHAnsi"/>
          <w:sz w:val="22"/>
          <w:szCs w:val="22"/>
        </w:rPr>
        <w:t xml:space="preserve">the </w:t>
      </w:r>
      <w:r w:rsidRPr="000416E7">
        <w:rPr>
          <w:rFonts w:asciiTheme="majorHAnsi" w:hAnsiTheme="majorHAnsi" w:cstheme="majorHAnsi"/>
          <w:sz w:val="22"/>
          <w:szCs w:val="22"/>
        </w:rPr>
        <w:t xml:space="preserve">finance </w:t>
      </w:r>
      <w:r w:rsidR="008019C6" w:rsidRPr="000416E7">
        <w:rPr>
          <w:rFonts w:asciiTheme="majorHAnsi" w:hAnsiTheme="majorHAnsi" w:cstheme="majorHAnsi"/>
          <w:sz w:val="22"/>
          <w:szCs w:val="22"/>
        </w:rPr>
        <w:t xml:space="preserve">sector </w:t>
      </w:r>
      <w:r w:rsidRPr="000416E7">
        <w:rPr>
          <w:rFonts w:asciiTheme="majorHAnsi" w:hAnsiTheme="majorHAnsi" w:cstheme="majorHAnsi"/>
          <w:sz w:val="22"/>
          <w:szCs w:val="22"/>
        </w:rPr>
        <w:t>to develop appropriate financial products. These will aggregate place-based, often quite small</w:t>
      </w:r>
      <w:r w:rsidR="008019C6" w:rsidRPr="000416E7">
        <w:rPr>
          <w:rFonts w:asciiTheme="majorHAnsi" w:hAnsiTheme="majorHAnsi" w:cstheme="majorHAnsi"/>
          <w:sz w:val="22"/>
          <w:szCs w:val="22"/>
        </w:rPr>
        <w:t xml:space="preserve"> projects perhaps </w:t>
      </w:r>
      <w:r w:rsidRPr="000416E7">
        <w:rPr>
          <w:rFonts w:asciiTheme="majorHAnsi" w:hAnsiTheme="majorHAnsi" w:cstheme="majorHAnsi"/>
          <w:sz w:val="22"/>
          <w:szCs w:val="22"/>
        </w:rPr>
        <w:t>with different risk – return profiles</w:t>
      </w:r>
      <w:r w:rsidR="003D28CC" w:rsidRPr="000416E7">
        <w:rPr>
          <w:rFonts w:asciiTheme="majorHAnsi" w:hAnsiTheme="majorHAnsi" w:cstheme="majorHAnsi"/>
          <w:sz w:val="22"/>
          <w:szCs w:val="22"/>
        </w:rPr>
        <w:t xml:space="preserve"> into packages suitable for institutional investment</w:t>
      </w:r>
      <w:r w:rsidRPr="000416E7">
        <w:rPr>
          <w:rFonts w:asciiTheme="majorHAnsi" w:hAnsiTheme="majorHAnsi" w:cstheme="majorHAnsi"/>
          <w:sz w:val="22"/>
          <w:szCs w:val="22"/>
        </w:rPr>
        <w:t xml:space="preserve">. </w:t>
      </w:r>
      <w:r w:rsidR="003D28CC" w:rsidRPr="000416E7">
        <w:rPr>
          <w:rFonts w:asciiTheme="majorHAnsi" w:hAnsiTheme="majorHAnsi" w:cstheme="majorHAnsi"/>
          <w:sz w:val="22"/>
          <w:szCs w:val="22"/>
        </w:rPr>
        <w:t xml:space="preserve">Funds are </w:t>
      </w:r>
      <w:r w:rsidR="008019C6" w:rsidRPr="000416E7">
        <w:rPr>
          <w:rFonts w:asciiTheme="majorHAnsi" w:hAnsiTheme="majorHAnsi" w:cstheme="majorHAnsi"/>
          <w:sz w:val="22"/>
          <w:szCs w:val="22"/>
        </w:rPr>
        <w:t>also need</w:t>
      </w:r>
      <w:r w:rsidR="003D28CC" w:rsidRPr="000416E7">
        <w:rPr>
          <w:rFonts w:asciiTheme="majorHAnsi" w:hAnsiTheme="majorHAnsi" w:cstheme="majorHAnsi"/>
          <w:sz w:val="22"/>
          <w:szCs w:val="22"/>
        </w:rPr>
        <w:t>ed</w:t>
      </w:r>
      <w:r w:rsidR="008019C6" w:rsidRPr="000416E7">
        <w:rPr>
          <w:rFonts w:asciiTheme="majorHAnsi" w:hAnsiTheme="majorHAnsi" w:cstheme="majorHAnsi"/>
          <w:sz w:val="22"/>
          <w:szCs w:val="22"/>
        </w:rPr>
        <w:t xml:space="preserve"> for larg</w:t>
      </w:r>
      <w:r w:rsidR="003D28CC" w:rsidRPr="000416E7">
        <w:rPr>
          <w:rFonts w:asciiTheme="majorHAnsi" w:hAnsiTheme="majorHAnsi" w:cstheme="majorHAnsi"/>
          <w:sz w:val="22"/>
          <w:szCs w:val="22"/>
        </w:rPr>
        <w:t>e</w:t>
      </w:r>
      <w:r w:rsidR="008019C6" w:rsidRPr="000416E7">
        <w:rPr>
          <w:rFonts w:asciiTheme="majorHAnsi" w:hAnsiTheme="majorHAnsi" w:cstheme="majorHAnsi"/>
          <w:sz w:val="22"/>
          <w:szCs w:val="22"/>
        </w:rPr>
        <w:t xml:space="preserve"> single </w:t>
      </w:r>
      <w:r w:rsidRPr="000416E7">
        <w:rPr>
          <w:rFonts w:asciiTheme="majorHAnsi" w:hAnsiTheme="majorHAnsi" w:cstheme="majorHAnsi"/>
          <w:sz w:val="22"/>
          <w:szCs w:val="22"/>
        </w:rPr>
        <w:t>assets e.g. heat networks</w:t>
      </w:r>
      <w:r w:rsidR="003D28CC" w:rsidRPr="000416E7">
        <w:rPr>
          <w:rFonts w:asciiTheme="majorHAnsi" w:hAnsiTheme="majorHAnsi" w:cstheme="majorHAnsi"/>
          <w:sz w:val="22"/>
          <w:szCs w:val="22"/>
        </w:rPr>
        <w:t xml:space="preserve"> which have difficult to characterise risk profiles</w:t>
      </w:r>
      <w:r w:rsidRPr="000416E7">
        <w:rPr>
          <w:rFonts w:asciiTheme="majorHAnsi" w:hAnsiTheme="majorHAnsi" w:cstheme="majorHAnsi"/>
          <w:sz w:val="22"/>
          <w:szCs w:val="22"/>
        </w:rPr>
        <w:t xml:space="preserve">. </w:t>
      </w:r>
    </w:p>
    <w:p w14:paraId="3CFAABD3" w14:textId="77777777"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Some place-based projects will suit impact investors as they generate non-financial benefits such as addressing fuel poverty, or socially deprived communities. </w:t>
      </w:r>
    </w:p>
    <w:p w14:paraId="76111276" w14:textId="77777777" w:rsidR="00215F07"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The new financial products need to aggregate large numbers of small </w:t>
      </w:r>
      <w:r w:rsidR="00970CFA" w:rsidRPr="000416E7">
        <w:rPr>
          <w:rFonts w:asciiTheme="majorHAnsi" w:hAnsiTheme="majorHAnsi" w:cstheme="majorHAnsi"/>
          <w:sz w:val="22"/>
          <w:szCs w:val="22"/>
        </w:rPr>
        <w:t xml:space="preserve">local </w:t>
      </w:r>
      <w:r w:rsidRPr="000416E7">
        <w:rPr>
          <w:rFonts w:asciiTheme="majorHAnsi" w:hAnsiTheme="majorHAnsi" w:cstheme="majorHAnsi"/>
          <w:sz w:val="22"/>
          <w:szCs w:val="22"/>
        </w:rPr>
        <w:t xml:space="preserve">investments </w:t>
      </w:r>
      <w:r w:rsidR="008019C6" w:rsidRPr="000416E7">
        <w:rPr>
          <w:rFonts w:asciiTheme="majorHAnsi" w:hAnsiTheme="majorHAnsi" w:cstheme="majorHAnsi"/>
          <w:sz w:val="22"/>
          <w:szCs w:val="22"/>
        </w:rPr>
        <w:t>like home retrofits, solar roofs, electric vehicles, business loans for emerging green businesses. I</w:t>
      </w:r>
      <w:r w:rsidRPr="000416E7">
        <w:rPr>
          <w:rFonts w:asciiTheme="majorHAnsi" w:hAnsiTheme="majorHAnsi" w:cstheme="majorHAnsi"/>
          <w:sz w:val="22"/>
          <w:szCs w:val="22"/>
        </w:rPr>
        <w:t xml:space="preserve">nstruments like themed revolving funds </w:t>
      </w:r>
      <w:r w:rsidR="00970CFA" w:rsidRPr="000416E7">
        <w:rPr>
          <w:rFonts w:asciiTheme="majorHAnsi" w:hAnsiTheme="majorHAnsi" w:cstheme="majorHAnsi"/>
          <w:sz w:val="22"/>
          <w:szCs w:val="22"/>
        </w:rPr>
        <w:t>(</w:t>
      </w:r>
      <w:r w:rsidRPr="000416E7">
        <w:rPr>
          <w:rFonts w:asciiTheme="majorHAnsi" w:hAnsiTheme="majorHAnsi" w:cstheme="majorHAnsi"/>
          <w:sz w:val="22"/>
          <w:szCs w:val="22"/>
        </w:rPr>
        <w:t>for example to fund roof-top solar or heat-pump roll-out</w:t>
      </w:r>
      <w:r w:rsidR="00970CFA" w:rsidRPr="000416E7">
        <w:rPr>
          <w:rFonts w:asciiTheme="majorHAnsi" w:hAnsiTheme="majorHAnsi" w:cstheme="majorHAnsi"/>
          <w:sz w:val="22"/>
          <w:szCs w:val="22"/>
        </w:rPr>
        <w:t>)</w:t>
      </w:r>
      <w:r w:rsidR="008019C6" w:rsidRPr="000416E7">
        <w:rPr>
          <w:rFonts w:asciiTheme="majorHAnsi" w:hAnsiTheme="majorHAnsi" w:cstheme="majorHAnsi"/>
          <w:sz w:val="22"/>
          <w:szCs w:val="22"/>
        </w:rPr>
        <w:t xml:space="preserve"> need to be made available to residents and </w:t>
      </w:r>
      <w:r w:rsidR="00980E43" w:rsidRPr="000416E7">
        <w:rPr>
          <w:rFonts w:asciiTheme="majorHAnsi" w:hAnsiTheme="majorHAnsi" w:cstheme="majorHAnsi"/>
          <w:sz w:val="22"/>
          <w:szCs w:val="22"/>
        </w:rPr>
        <w:t>SMEs</w:t>
      </w:r>
      <w:r w:rsidR="00970CFA" w:rsidRPr="000416E7">
        <w:rPr>
          <w:rFonts w:asciiTheme="majorHAnsi" w:hAnsiTheme="majorHAnsi" w:cstheme="majorHAnsi"/>
          <w:sz w:val="22"/>
          <w:szCs w:val="22"/>
        </w:rPr>
        <w:t xml:space="preserve"> perhaps drawing on local government to raise awareness or support their usage</w:t>
      </w:r>
      <w:r w:rsidRPr="000416E7">
        <w:rPr>
          <w:rFonts w:asciiTheme="majorHAnsi" w:hAnsiTheme="majorHAnsi" w:cstheme="majorHAnsi"/>
          <w:sz w:val="22"/>
          <w:szCs w:val="22"/>
        </w:rPr>
        <w:t xml:space="preserve">. </w:t>
      </w:r>
      <w:r w:rsidR="00E54593" w:rsidRPr="000416E7">
        <w:rPr>
          <w:rFonts w:asciiTheme="majorHAnsi" w:hAnsiTheme="majorHAnsi" w:cstheme="majorHAnsi"/>
          <w:sz w:val="22"/>
          <w:szCs w:val="22"/>
        </w:rPr>
        <w:t xml:space="preserve">Local government can sometimes provide or access grant funds to supplement private capital and reduce commercial risks. These blended finance solutions </w:t>
      </w:r>
      <w:r w:rsidR="00980E43" w:rsidRPr="000416E7">
        <w:rPr>
          <w:rFonts w:asciiTheme="majorHAnsi" w:hAnsiTheme="majorHAnsi" w:cstheme="majorHAnsi"/>
          <w:sz w:val="22"/>
          <w:szCs w:val="22"/>
        </w:rPr>
        <w:t>need to share the risk and returns between the public and private sectors on a fair basis</w:t>
      </w:r>
      <w:r w:rsidR="00E54593" w:rsidRPr="000416E7">
        <w:rPr>
          <w:rFonts w:asciiTheme="majorHAnsi" w:hAnsiTheme="majorHAnsi" w:cstheme="majorHAnsi"/>
          <w:sz w:val="22"/>
          <w:szCs w:val="22"/>
        </w:rPr>
        <w:t xml:space="preserve">. </w:t>
      </w:r>
    </w:p>
    <w:p w14:paraId="29756373" w14:textId="01F25C71" w:rsidR="00970CFA" w:rsidRPr="000416E7" w:rsidRDefault="00215F07" w:rsidP="00873614">
      <w:pPr>
        <w:rPr>
          <w:rFonts w:asciiTheme="majorHAnsi" w:hAnsiTheme="majorHAnsi" w:cstheme="majorHAnsi"/>
          <w:sz w:val="22"/>
          <w:szCs w:val="22"/>
        </w:rPr>
      </w:pPr>
      <w:r w:rsidRPr="000416E7">
        <w:rPr>
          <w:rFonts w:asciiTheme="majorHAnsi" w:hAnsiTheme="majorHAnsi" w:cstheme="majorHAnsi"/>
          <w:sz w:val="22"/>
          <w:szCs w:val="22"/>
        </w:rPr>
        <w:t>More work would be welcome on delivery models (</w:t>
      </w:r>
      <w:r w:rsidR="00C25AFF" w:rsidRPr="000416E7">
        <w:rPr>
          <w:rFonts w:asciiTheme="majorHAnsi" w:hAnsiTheme="majorHAnsi" w:cstheme="majorHAnsi"/>
          <w:sz w:val="22"/>
          <w:szCs w:val="22"/>
        </w:rPr>
        <w:t>e.g.</w:t>
      </w:r>
      <w:r w:rsidRPr="000416E7">
        <w:rPr>
          <w:rFonts w:asciiTheme="majorHAnsi" w:hAnsiTheme="majorHAnsi" w:cstheme="majorHAnsi"/>
          <w:sz w:val="22"/>
          <w:szCs w:val="22"/>
        </w:rPr>
        <w:t>: Joint Venture/ESCOs) and how to unlock £340bn of assets inside local authority pension funds.</w:t>
      </w:r>
    </w:p>
    <w:p w14:paraId="1740EFD0" w14:textId="22407429" w:rsidR="00873614" w:rsidRPr="000416E7" w:rsidRDefault="00A62A34" w:rsidP="00873614">
      <w:pPr>
        <w:rPr>
          <w:rFonts w:asciiTheme="majorHAnsi" w:hAnsiTheme="majorHAnsi" w:cstheme="majorHAnsi"/>
          <w:sz w:val="22"/>
          <w:szCs w:val="22"/>
        </w:rPr>
      </w:pPr>
      <w:r>
        <w:rPr>
          <w:rFonts w:asciiTheme="majorHAnsi" w:hAnsiTheme="majorHAnsi" w:cstheme="majorHAnsi"/>
          <w:sz w:val="22"/>
          <w:szCs w:val="22"/>
          <w:u w:val="single"/>
        </w:rPr>
        <w:lastRenderedPageBreak/>
        <w:t>Place based investment</w:t>
      </w:r>
      <w:r w:rsidR="00873614" w:rsidRPr="000416E7">
        <w:rPr>
          <w:rFonts w:asciiTheme="majorHAnsi" w:hAnsiTheme="majorHAnsi" w:cstheme="majorHAnsi"/>
          <w:sz w:val="22"/>
          <w:szCs w:val="22"/>
          <w:u w:val="single"/>
        </w:rPr>
        <w:t>.</w:t>
      </w:r>
      <w:r w:rsidR="00873614" w:rsidRPr="000416E7">
        <w:rPr>
          <w:rFonts w:asciiTheme="majorHAnsi" w:hAnsiTheme="majorHAnsi" w:cstheme="majorHAnsi"/>
          <w:sz w:val="22"/>
          <w:szCs w:val="22"/>
        </w:rPr>
        <w:t xml:space="preserve"> Private investors can help deliver local community benefits by involving them in co-creating the net-zero investment programs and adopt</w:t>
      </w:r>
      <w:r w:rsidR="00970CFA" w:rsidRPr="000416E7">
        <w:rPr>
          <w:rFonts w:asciiTheme="majorHAnsi" w:hAnsiTheme="majorHAnsi" w:cstheme="majorHAnsi"/>
          <w:sz w:val="22"/>
          <w:szCs w:val="22"/>
        </w:rPr>
        <w:t>ing</w:t>
      </w:r>
      <w:r w:rsidR="00873614" w:rsidRPr="000416E7">
        <w:rPr>
          <w:rFonts w:asciiTheme="majorHAnsi" w:hAnsiTheme="majorHAnsi" w:cstheme="majorHAnsi"/>
          <w:sz w:val="22"/>
          <w:szCs w:val="22"/>
        </w:rPr>
        <w:t xml:space="preserve"> a place-based approach. </w:t>
      </w:r>
      <w:r w:rsidR="00970CFA" w:rsidRPr="000416E7">
        <w:rPr>
          <w:rFonts w:asciiTheme="majorHAnsi" w:hAnsiTheme="majorHAnsi" w:cstheme="majorHAnsi"/>
          <w:sz w:val="22"/>
          <w:szCs w:val="22"/>
        </w:rPr>
        <w:t>The UK</w:t>
      </w:r>
      <w:r w:rsidR="006671A6">
        <w:rPr>
          <w:rFonts w:asciiTheme="majorHAnsi" w:hAnsiTheme="majorHAnsi" w:cstheme="majorHAnsi"/>
          <w:sz w:val="22"/>
          <w:szCs w:val="22"/>
        </w:rPr>
        <w:t xml:space="preserve"> </w:t>
      </w:r>
      <w:r w:rsidR="00970CFA" w:rsidRPr="000416E7">
        <w:rPr>
          <w:rFonts w:asciiTheme="majorHAnsi" w:hAnsiTheme="majorHAnsi" w:cstheme="majorHAnsi"/>
          <w:sz w:val="22"/>
          <w:szCs w:val="22"/>
        </w:rPr>
        <w:t xml:space="preserve">CCIC report recommends </w:t>
      </w:r>
      <w:r w:rsidR="00873614" w:rsidRPr="000416E7">
        <w:rPr>
          <w:rFonts w:asciiTheme="majorHAnsi" w:hAnsiTheme="majorHAnsi" w:cstheme="majorHAnsi"/>
          <w:sz w:val="22"/>
          <w:szCs w:val="22"/>
        </w:rPr>
        <w:t xml:space="preserve">a combination of complementary interventions with differing internal rates of cash returns and non-cash co-benefits. More profitable investments can provide the cash returns to support a layer of private finance. For this to happen, this will require contracting mechanisms to capture, say, the energy savings from residents who benefit from the investment at no upfront cost. </w:t>
      </w:r>
    </w:p>
    <w:p w14:paraId="313CCD03" w14:textId="0B7F653D"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The use of local supply chains will ensure local </w:t>
      </w:r>
      <w:r w:rsidR="002D1022" w:rsidRPr="000416E7">
        <w:rPr>
          <w:rFonts w:asciiTheme="majorHAnsi" w:hAnsiTheme="majorHAnsi" w:cstheme="majorHAnsi"/>
          <w:sz w:val="22"/>
          <w:szCs w:val="22"/>
        </w:rPr>
        <w:t>communities’</w:t>
      </w:r>
      <w:r w:rsidRPr="000416E7">
        <w:rPr>
          <w:rFonts w:asciiTheme="majorHAnsi" w:hAnsiTheme="majorHAnsi" w:cstheme="majorHAnsi"/>
          <w:sz w:val="22"/>
          <w:szCs w:val="22"/>
        </w:rPr>
        <w:t xml:space="preserve"> benefit from the delivery of climate and environmental objectives. Ensuring co-benefits remain in the community will be important and this begins with using local resources to carry out the work.  </w:t>
      </w:r>
    </w:p>
    <w:p w14:paraId="0491CCC0" w14:textId="77777777" w:rsidR="00873614" w:rsidRPr="000416E7" w:rsidRDefault="00873614" w:rsidP="00873614">
      <w:pPr>
        <w:rPr>
          <w:rFonts w:asciiTheme="majorHAnsi" w:hAnsiTheme="majorHAnsi" w:cstheme="majorHAnsi"/>
          <w:sz w:val="22"/>
          <w:szCs w:val="22"/>
        </w:rPr>
      </w:pPr>
    </w:p>
    <w:p w14:paraId="6868A15D" w14:textId="77777777" w:rsidR="00873614" w:rsidRPr="000416E7" w:rsidRDefault="00873614" w:rsidP="00873614">
      <w:pPr>
        <w:rPr>
          <w:rFonts w:asciiTheme="majorHAnsi" w:hAnsiTheme="majorHAnsi" w:cstheme="majorHAnsi"/>
          <w:b/>
          <w:bCs/>
          <w:sz w:val="22"/>
          <w:szCs w:val="22"/>
        </w:rPr>
      </w:pPr>
      <w:r w:rsidRPr="000416E7">
        <w:rPr>
          <w:rFonts w:asciiTheme="majorHAnsi" w:hAnsiTheme="majorHAnsi" w:cstheme="majorHAnsi"/>
          <w:b/>
          <w:bCs/>
          <w:sz w:val="22"/>
          <w:szCs w:val="22"/>
        </w:rPr>
        <w:t xml:space="preserve">18. How can local authorities support the mobilisation of private and public investment to key sectors and technologies for the UK’s climate and environmental objectives, whilst also meeting local priorities? What barriers to this are there? </w:t>
      </w:r>
    </w:p>
    <w:p w14:paraId="11034ECB" w14:textId="2678A818"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Local government plays </w:t>
      </w:r>
      <w:r w:rsidR="00970CFA" w:rsidRPr="000416E7">
        <w:rPr>
          <w:rFonts w:asciiTheme="majorHAnsi" w:hAnsiTheme="majorHAnsi" w:cstheme="majorHAnsi"/>
          <w:sz w:val="22"/>
          <w:szCs w:val="22"/>
        </w:rPr>
        <w:t xml:space="preserve">the following roles </w:t>
      </w:r>
      <w:r w:rsidRPr="000416E7">
        <w:rPr>
          <w:rFonts w:asciiTheme="majorHAnsi" w:hAnsiTheme="majorHAnsi" w:cstheme="majorHAnsi"/>
          <w:sz w:val="22"/>
          <w:szCs w:val="22"/>
        </w:rPr>
        <w:t xml:space="preserve">in mobilising investment, </w:t>
      </w:r>
      <w:r w:rsidR="00970CFA" w:rsidRPr="000416E7">
        <w:rPr>
          <w:rFonts w:asciiTheme="majorHAnsi" w:hAnsiTheme="majorHAnsi" w:cstheme="majorHAnsi"/>
          <w:sz w:val="22"/>
          <w:szCs w:val="22"/>
        </w:rPr>
        <w:t xml:space="preserve">encouraging </w:t>
      </w:r>
      <w:r w:rsidRPr="000416E7">
        <w:rPr>
          <w:rFonts w:asciiTheme="majorHAnsi" w:hAnsiTheme="majorHAnsi" w:cstheme="majorHAnsi"/>
          <w:sz w:val="22"/>
          <w:szCs w:val="22"/>
        </w:rPr>
        <w:t>innovation</w:t>
      </w:r>
      <w:r w:rsidR="00691F9D" w:rsidRPr="000416E7">
        <w:rPr>
          <w:rFonts w:asciiTheme="majorHAnsi" w:hAnsiTheme="majorHAnsi" w:cstheme="majorHAnsi"/>
          <w:sz w:val="22"/>
          <w:szCs w:val="22"/>
        </w:rPr>
        <w:t>,</w:t>
      </w:r>
      <w:r w:rsidRPr="000416E7">
        <w:rPr>
          <w:rFonts w:asciiTheme="majorHAnsi" w:hAnsiTheme="majorHAnsi" w:cstheme="majorHAnsi"/>
          <w:sz w:val="22"/>
          <w:szCs w:val="22"/>
        </w:rPr>
        <w:t xml:space="preserve"> </w:t>
      </w:r>
      <w:r w:rsidR="00970CFA" w:rsidRPr="000416E7">
        <w:rPr>
          <w:rFonts w:asciiTheme="majorHAnsi" w:hAnsiTheme="majorHAnsi" w:cstheme="majorHAnsi"/>
          <w:sz w:val="22"/>
          <w:szCs w:val="22"/>
        </w:rPr>
        <w:t xml:space="preserve">identifying </w:t>
      </w:r>
      <w:r w:rsidRPr="000416E7">
        <w:rPr>
          <w:rFonts w:asciiTheme="majorHAnsi" w:hAnsiTheme="majorHAnsi" w:cstheme="majorHAnsi"/>
          <w:sz w:val="22"/>
          <w:szCs w:val="22"/>
        </w:rPr>
        <w:t>local priorities</w:t>
      </w:r>
      <w:r w:rsidR="00691F9D" w:rsidRPr="000416E7">
        <w:rPr>
          <w:rFonts w:asciiTheme="majorHAnsi" w:hAnsiTheme="majorHAnsi" w:cstheme="majorHAnsi"/>
          <w:sz w:val="22"/>
          <w:szCs w:val="22"/>
        </w:rPr>
        <w:t xml:space="preserve"> and developing and co-ordinating net zero projects</w:t>
      </w:r>
      <w:r w:rsidRPr="000416E7">
        <w:rPr>
          <w:rFonts w:asciiTheme="majorHAnsi" w:hAnsiTheme="majorHAnsi" w:cstheme="majorHAnsi"/>
          <w:sz w:val="22"/>
          <w:szCs w:val="22"/>
        </w:rPr>
        <w:t xml:space="preserve">. </w:t>
      </w:r>
      <w:r w:rsidR="00970CFA" w:rsidRPr="000416E7">
        <w:rPr>
          <w:rFonts w:asciiTheme="majorHAnsi" w:hAnsiTheme="majorHAnsi" w:cstheme="majorHAnsi"/>
          <w:sz w:val="22"/>
          <w:szCs w:val="22"/>
        </w:rPr>
        <w:t>It</w:t>
      </w:r>
      <w:r w:rsidRPr="000416E7">
        <w:rPr>
          <w:rFonts w:asciiTheme="majorHAnsi" w:hAnsiTheme="majorHAnsi" w:cstheme="majorHAnsi"/>
          <w:sz w:val="22"/>
          <w:szCs w:val="22"/>
        </w:rPr>
        <w:t xml:space="preserve">: </w:t>
      </w:r>
    </w:p>
    <w:p w14:paraId="46F28BB3" w14:textId="6EB33AD4" w:rsidR="00873614" w:rsidRPr="000416E7" w:rsidRDefault="00873614" w:rsidP="00873614">
      <w:pPr>
        <w:pStyle w:val="ListParagraph"/>
        <w:numPr>
          <w:ilvl w:val="0"/>
          <w:numId w:val="37"/>
        </w:numPr>
        <w:spacing w:after="160" w:line="259" w:lineRule="auto"/>
        <w:contextualSpacing/>
        <w:rPr>
          <w:rFonts w:asciiTheme="majorHAnsi" w:hAnsiTheme="majorHAnsi" w:cstheme="majorHAnsi"/>
        </w:rPr>
      </w:pPr>
      <w:r w:rsidRPr="000416E7">
        <w:rPr>
          <w:rFonts w:asciiTheme="majorHAnsi" w:hAnsiTheme="majorHAnsi" w:cstheme="majorHAnsi"/>
        </w:rPr>
        <w:t xml:space="preserve">Sets the </w:t>
      </w:r>
      <w:r w:rsidR="00970CFA" w:rsidRPr="000416E7">
        <w:rPr>
          <w:rFonts w:asciiTheme="majorHAnsi" w:hAnsiTheme="majorHAnsi" w:cstheme="majorHAnsi"/>
        </w:rPr>
        <w:t>p</w:t>
      </w:r>
      <w:r w:rsidRPr="000416E7">
        <w:rPr>
          <w:rFonts w:asciiTheme="majorHAnsi" w:hAnsiTheme="majorHAnsi" w:cstheme="majorHAnsi"/>
        </w:rPr>
        <w:t>olitical direction</w:t>
      </w:r>
    </w:p>
    <w:p w14:paraId="61E63694" w14:textId="4CA39D56" w:rsidR="00873614" w:rsidRPr="000416E7" w:rsidRDefault="00873614" w:rsidP="00873614">
      <w:pPr>
        <w:pStyle w:val="ListParagraph"/>
        <w:numPr>
          <w:ilvl w:val="0"/>
          <w:numId w:val="37"/>
        </w:numPr>
        <w:spacing w:after="160" w:line="259" w:lineRule="auto"/>
        <w:contextualSpacing/>
        <w:rPr>
          <w:rFonts w:asciiTheme="majorHAnsi" w:hAnsiTheme="majorHAnsi" w:cstheme="majorHAnsi"/>
        </w:rPr>
      </w:pPr>
      <w:r w:rsidRPr="000416E7">
        <w:rPr>
          <w:rFonts w:asciiTheme="majorHAnsi" w:hAnsiTheme="majorHAnsi" w:cstheme="majorHAnsi"/>
        </w:rPr>
        <w:t>Develops strateg</w:t>
      </w:r>
      <w:r w:rsidR="00970CFA" w:rsidRPr="000416E7">
        <w:rPr>
          <w:rFonts w:asciiTheme="majorHAnsi" w:hAnsiTheme="majorHAnsi" w:cstheme="majorHAnsi"/>
        </w:rPr>
        <w:t>ies</w:t>
      </w:r>
      <w:r w:rsidRPr="000416E7">
        <w:rPr>
          <w:rFonts w:asciiTheme="majorHAnsi" w:hAnsiTheme="majorHAnsi" w:cstheme="majorHAnsi"/>
        </w:rPr>
        <w:t xml:space="preserve"> to decarbonise communities</w:t>
      </w:r>
      <w:r w:rsidR="005F3029">
        <w:rPr>
          <w:rFonts w:asciiTheme="majorHAnsi" w:hAnsiTheme="majorHAnsi" w:cstheme="majorHAnsi"/>
        </w:rPr>
        <w:t xml:space="preserve"> and</w:t>
      </w:r>
      <w:r w:rsidRPr="000416E7">
        <w:rPr>
          <w:rFonts w:asciiTheme="majorHAnsi" w:hAnsiTheme="majorHAnsi" w:cstheme="majorHAnsi"/>
        </w:rPr>
        <w:t xml:space="preserve"> identify investment needs in public and private assets</w:t>
      </w:r>
      <w:r w:rsidR="006E6060">
        <w:rPr>
          <w:rFonts w:asciiTheme="majorHAnsi" w:hAnsiTheme="majorHAnsi" w:cstheme="majorHAnsi"/>
        </w:rPr>
        <w:t xml:space="preserve"> at both the individual authority </w:t>
      </w:r>
      <w:r w:rsidR="006E6060" w:rsidRPr="006E6060">
        <w:rPr>
          <w:rFonts w:asciiTheme="majorHAnsi" w:hAnsiTheme="majorHAnsi" w:cstheme="majorHAnsi"/>
          <w:color w:val="FF0000"/>
        </w:rPr>
        <w:t>and collectively across authorities</w:t>
      </w:r>
    </w:p>
    <w:p w14:paraId="57C8C2D3" w14:textId="54D71AEB" w:rsidR="00873614" w:rsidRPr="000416E7" w:rsidRDefault="00873614" w:rsidP="00873614">
      <w:pPr>
        <w:pStyle w:val="ListParagraph"/>
        <w:numPr>
          <w:ilvl w:val="0"/>
          <w:numId w:val="37"/>
        </w:numPr>
        <w:spacing w:after="160" w:line="259" w:lineRule="auto"/>
        <w:contextualSpacing/>
        <w:rPr>
          <w:rFonts w:asciiTheme="majorHAnsi" w:hAnsiTheme="majorHAnsi" w:cstheme="majorHAnsi"/>
        </w:rPr>
      </w:pPr>
      <w:r w:rsidRPr="000416E7">
        <w:rPr>
          <w:rFonts w:asciiTheme="majorHAnsi" w:hAnsiTheme="majorHAnsi" w:cstheme="majorHAnsi"/>
        </w:rPr>
        <w:t>Suppl</w:t>
      </w:r>
      <w:r w:rsidR="00970CFA" w:rsidRPr="000416E7">
        <w:rPr>
          <w:rFonts w:asciiTheme="majorHAnsi" w:hAnsiTheme="majorHAnsi" w:cstheme="majorHAnsi"/>
        </w:rPr>
        <w:t>ies</w:t>
      </w:r>
      <w:r w:rsidRPr="000416E7">
        <w:rPr>
          <w:rFonts w:asciiTheme="majorHAnsi" w:hAnsiTheme="majorHAnsi" w:cstheme="majorHAnsi"/>
        </w:rPr>
        <w:t xml:space="preserve"> </w:t>
      </w:r>
      <w:r w:rsidR="00970CFA" w:rsidRPr="000416E7">
        <w:rPr>
          <w:rFonts w:asciiTheme="majorHAnsi" w:hAnsiTheme="majorHAnsi" w:cstheme="majorHAnsi"/>
        </w:rPr>
        <w:t xml:space="preserve">(constrained amounts of) </w:t>
      </w:r>
      <w:r w:rsidRPr="000416E7">
        <w:rPr>
          <w:rFonts w:asciiTheme="majorHAnsi" w:hAnsiTheme="majorHAnsi" w:cstheme="majorHAnsi"/>
        </w:rPr>
        <w:t>low-cost capital or grant to blend with private capital</w:t>
      </w:r>
    </w:p>
    <w:p w14:paraId="4BE70A8B" w14:textId="357F0960" w:rsidR="00873614" w:rsidRPr="000416E7" w:rsidRDefault="005F3029" w:rsidP="00873614">
      <w:pPr>
        <w:pStyle w:val="ListParagraph"/>
        <w:numPr>
          <w:ilvl w:val="0"/>
          <w:numId w:val="37"/>
        </w:numPr>
        <w:spacing w:after="160" w:line="259" w:lineRule="auto"/>
        <w:contextualSpacing/>
        <w:rPr>
          <w:rFonts w:asciiTheme="majorHAnsi" w:hAnsiTheme="majorHAnsi" w:cstheme="majorHAnsi"/>
        </w:rPr>
      </w:pPr>
      <w:r>
        <w:rPr>
          <w:rFonts w:asciiTheme="majorHAnsi" w:hAnsiTheme="majorHAnsi" w:cstheme="majorHAnsi"/>
        </w:rPr>
        <w:t>Helps develop l</w:t>
      </w:r>
      <w:r w:rsidR="00873614" w:rsidRPr="000416E7">
        <w:rPr>
          <w:rFonts w:asciiTheme="majorHAnsi" w:hAnsiTheme="majorHAnsi" w:cstheme="majorHAnsi"/>
        </w:rPr>
        <w:t>ocal skills</w:t>
      </w:r>
    </w:p>
    <w:p w14:paraId="798C53EE" w14:textId="6555EA8A" w:rsidR="00873614" w:rsidRPr="000416E7" w:rsidRDefault="00873614" w:rsidP="00873614">
      <w:pPr>
        <w:pStyle w:val="ListParagraph"/>
        <w:numPr>
          <w:ilvl w:val="0"/>
          <w:numId w:val="37"/>
        </w:numPr>
        <w:spacing w:after="160" w:line="259" w:lineRule="auto"/>
        <w:contextualSpacing/>
        <w:rPr>
          <w:rFonts w:asciiTheme="majorHAnsi" w:hAnsiTheme="majorHAnsi" w:cstheme="majorHAnsi"/>
        </w:rPr>
      </w:pPr>
      <w:r w:rsidRPr="000416E7">
        <w:rPr>
          <w:rFonts w:asciiTheme="majorHAnsi" w:hAnsiTheme="majorHAnsi" w:cstheme="majorHAnsi"/>
        </w:rPr>
        <w:t>Removes obstacles and ensure</w:t>
      </w:r>
      <w:r w:rsidR="009B56EC">
        <w:rPr>
          <w:rFonts w:asciiTheme="majorHAnsi" w:hAnsiTheme="majorHAnsi" w:cstheme="majorHAnsi"/>
        </w:rPr>
        <w:t>s</w:t>
      </w:r>
      <w:r w:rsidRPr="000416E7">
        <w:rPr>
          <w:rFonts w:asciiTheme="majorHAnsi" w:hAnsiTheme="majorHAnsi" w:cstheme="majorHAnsi"/>
        </w:rPr>
        <w:t xml:space="preserve"> local policies and plans incorporate net-zero</w:t>
      </w:r>
    </w:p>
    <w:p w14:paraId="177CBEB6" w14:textId="77777777" w:rsidR="00873614" w:rsidRPr="000416E7" w:rsidRDefault="00873614" w:rsidP="00873614">
      <w:pPr>
        <w:pStyle w:val="ListParagraph"/>
        <w:numPr>
          <w:ilvl w:val="0"/>
          <w:numId w:val="37"/>
        </w:numPr>
        <w:spacing w:after="160" w:line="259" w:lineRule="auto"/>
        <w:contextualSpacing/>
        <w:rPr>
          <w:rFonts w:asciiTheme="majorHAnsi" w:hAnsiTheme="majorHAnsi" w:cstheme="majorHAnsi"/>
        </w:rPr>
      </w:pPr>
      <w:r w:rsidRPr="000416E7">
        <w:rPr>
          <w:rFonts w:asciiTheme="majorHAnsi" w:hAnsiTheme="majorHAnsi" w:cstheme="majorHAnsi"/>
        </w:rPr>
        <w:t>Identifies national policy changes needed to strengthen the financial case</w:t>
      </w:r>
    </w:p>
    <w:p w14:paraId="27ACF94D" w14:textId="5922E6AC" w:rsidR="00873614" w:rsidRPr="000416E7" w:rsidRDefault="00873614" w:rsidP="00873614">
      <w:pPr>
        <w:rPr>
          <w:rFonts w:asciiTheme="majorHAnsi" w:hAnsiTheme="majorHAnsi" w:cstheme="majorHAnsi"/>
          <w:sz w:val="22"/>
          <w:szCs w:val="22"/>
        </w:rPr>
      </w:pPr>
      <w:bookmarkStart w:id="0" w:name="_Hlk106799990"/>
      <w:r w:rsidRPr="000416E7">
        <w:rPr>
          <w:rFonts w:asciiTheme="majorHAnsi" w:hAnsiTheme="majorHAnsi" w:cstheme="majorHAnsi"/>
          <w:sz w:val="22"/>
          <w:szCs w:val="22"/>
          <w:u w:val="single"/>
        </w:rPr>
        <w:t>Political direction:</w:t>
      </w:r>
      <w:r w:rsidRPr="000416E7">
        <w:rPr>
          <w:rFonts w:asciiTheme="majorHAnsi" w:hAnsiTheme="majorHAnsi" w:cstheme="majorHAnsi"/>
          <w:sz w:val="22"/>
          <w:szCs w:val="22"/>
        </w:rPr>
        <w:t xml:space="preserve"> </w:t>
      </w:r>
      <w:r w:rsidR="00DA3455" w:rsidRPr="000416E7">
        <w:rPr>
          <w:rFonts w:asciiTheme="majorHAnsi" w:hAnsiTheme="majorHAnsi" w:cstheme="majorHAnsi"/>
          <w:sz w:val="22"/>
          <w:szCs w:val="22"/>
        </w:rPr>
        <w:t>London’s l</w:t>
      </w:r>
      <w:r w:rsidRPr="000416E7">
        <w:rPr>
          <w:rFonts w:asciiTheme="majorHAnsi" w:hAnsiTheme="majorHAnsi" w:cstheme="majorHAnsi"/>
          <w:sz w:val="22"/>
          <w:szCs w:val="22"/>
        </w:rPr>
        <w:t>ocal politicians have demonstrated their intent to reach environmental targets, with 2</w:t>
      </w:r>
      <w:r w:rsidR="00040E33">
        <w:rPr>
          <w:rFonts w:asciiTheme="majorHAnsi" w:hAnsiTheme="majorHAnsi" w:cstheme="majorHAnsi"/>
          <w:sz w:val="22"/>
          <w:szCs w:val="22"/>
        </w:rPr>
        <w:t>8</w:t>
      </w:r>
      <w:r w:rsidRPr="000416E7">
        <w:rPr>
          <w:rFonts w:asciiTheme="majorHAnsi" w:hAnsiTheme="majorHAnsi" w:cstheme="majorHAnsi"/>
          <w:sz w:val="22"/>
          <w:szCs w:val="22"/>
        </w:rPr>
        <w:t xml:space="preserve"> of the 32 boroughs and City of London declaring a state of climate emergency and </w:t>
      </w:r>
      <w:r w:rsidR="006F6840">
        <w:rPr>
          <w:rFonts w:asciiTheme="majorHAnsi" w:hAnsiTheme="majorHAnsi" w:cstheme="majorHAnsi"/>
          <w:sz w:val="22"/>
          <w:szCs w:val="22"/>
        </w:rPr>
        <w:t>31 boroughs and the City</w:t>
      </w:r>
      <w:r w:rsidRPr="000416E7">
        <w:rPr>
          <w:rFonts w:asciiTheme="majorHAnsi" w:hAnsiTheme="majorHAnsi" w:cstheme="majorHAnsi"/>
          <w:sz w:val="22"/>
          <w:szCs w:val="22"/>
        </w:rPr>
        <w:t xml:space="preserve"> </w:t>
      </w:r>
      <w:r w:rsidR="006F6840">
        <w:rPr>
          <w:rFonts w:asciiTheme="majorHAnsi" w:hAnsiTheme="majorHAnsi" w:cstheme="majorHAnsi"/>
          <w:sz w:val="22"/>
          <w:szCs w:val="22"/>
        </w:rPr>
        <w:t xml:space="preserve">of London </w:t>
      </w:r>
      <w:r w:rsidRPr="000416E7">
        <w:rPr>
          <w:rFonts w:asciiTheme="majorHAnsi" w:hAnsiTheme="majorHAnsi" w:cstheme="majorHAnsi"/>
          <w:sz w:val="22"/>
          <w:szCs w:val="22"/>
        </w:rPr>
        <w:t>declaring net-zero targets for 20</w:t>
      </w:r>
      <w:r w:rsidR="006F6840">
        <w:rPr>
          <w:rFonts w:asciiTheme="majorHAnsi" w:hAnsiTheme="majorHAnsi" w:cstheme="majorHAnsi"/>
          <w:sz w:val="22"/>
          <w:szCs w:val="22"/>
        </w:rPr>
        <w:t>4</w:t>
      </w:r>
      <w:r w:rsidRPr="000416E7">
        <w:rPr>
          <w:rFonts w:asciiTheme="majorHAnsi" w:hAnsiTheme="majorHAnsi" w:cstheme="majorHAnsi"/>
          <w:sz w:val="22"/>
          <w:szCs w:val="22"/>
        </w:rPr>
        <w:t>0</w:t>
      </w:r>
      <w:r w:rsidR="006F6840">
        <w:rPr>
          <w:rFonts w:asciiTheme="majorHAnsi" w:hAnsiTheme="majorHAnsi" w:cstheme="majorHAnsi"/>
          <w:sz w:val="22"/>
          <w:szCs w:val="22"/>
        </w:rPr>
        <w:t xml:space="preserve"> or earlier</w:t>
      </w:r>
      <w:r w:rsidRPr="000416E7">
        <w:rPr>
          <w:rFonts w:asciiTheme="majorHAnsi" w:hAnsiTheme="majorHAnsi" w:cstheme="majorHAnsi"/>
          <w:sz w:val="22"/>
          <w:szCs w:val="22"/>
        </w:rPr>
        <w:t>.</w:t>
      </w:r>
    </w:p>
    <w:bookmarkEnd w:id="0"/>
    <w:p w14:paraId="31E4C6C1" w14:textId="4D1F3F30"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u w:val="single"/>
        </w:rPr>
        <w:t>Strategies:</w:t>
      </w:r>
      <w:r w:rsidRPr="000416E7">
        <w:rPr>
          <w:rFonts w:asciiTheme="majorHAnsi" w:hAnsiTheme="majorHAnsi" w:cstheme="majorHAnsi"/>
          <w:sz w:val="22"/>
          <w:szCs w:val="22"/>
        </w:rPr>
        <w:t xml:space="preserve"> London Councils have established seven programmes of activity to plan London’s green transformation focussed on buildings, transport, </w:t>
      </w:r>
      <w:r w:rsidR="00924C3A">
        <w:rPr>
          <w:rFonts w:asciiTheme="majorHAnsi" w:hAnsiTheme="majorHAnsi" w:cstheme="majorHAnsi"/>
          <w:sz w:val="22"/>
          <w:szCs w:val="22"/>
        </w:rPr>
        <w:t xml:space="preserve">energy, </w:t>
      </w:r>
      <w:r w:rsidRPr="000416E7">
        <w:rPr>
          <w:rFonts w:asciiTheme="majorHAnsi" w:hAnsiTheme="majorHAnsi" w:cstheme="majorHAnsi"/>
          <w:sz w:val="22"/>
          <w:szCs w:val="22"/>
        </w:rPr>
        <w:t>upstream supply chains, enhancing local skills, green economy and investment to make London more resilient to climate change</w:t>
      </w:r>
      <w:r w:rsidRPr="000416E7">
        <w:rPr>
          <w:rStyle w:val="FootnoteReference"/>
          <w:rFonts w:asciiTheme="majorHAnsi" w:hAnsiTheme="majorHAnsi" w:cstheme="majorHAnsi"/>
          <w:sz w:val="22"/>
          <w:szCs w:val="22"/>
        </w:rPr>
        <w:footnoteReference w:id="3"/>
      </w:r>
      <w:r w:rsidRPr="000416E7">
        <w:rPr>
          <w:rFonts w:asciiTheme="majorHAnsi" w:hAnsiTheme="majorHAnsi" w:cstheme="majorHAnsi"/>
          <w:sz w:val="22"/>
          <w:szCs w:val="22"/>
        </w:rPr>
        <w:t xml:space="preserve">. </w:t>
      </w:r>
    </w:p>
    <w:p w14:paraId="30A9B467" w14:textId="275A2C59"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Local authorities need to play a key role in developing a project pipeline to identify the investment need to reach climate targets. These </w:t>
      </w:r>
      <w:r w:rsidR="00DA3455" w:rsidRPr="000416E7">
        <w:rPr>
          <w:rFonts w:asciiTheme="majorHAnsi" w:hAnsiTheme="majorHAnsi" w:cstheme="majorHAnsi"/>
          <w:sz w:val="22"/>
          <w:szCs w:val="22"/>
        </w:rPr>
        <w:t xml:space="preserve">can help </w:t>
      </w:r>
      <w:r w:rsidRPr="000416E7">
        <w:rPr>
          <w:rFonts w:asciiTheme="majorHAnsi" w:hAnsiTheme="majorHAnsi" w:cstheme="majorHAnsi"/>
          <w:sz w:val="22"/>
          <w:szCs w:val="22"/>
        </w:rPr>
        <w:t xml:space="preserve">aggregate many individual projects into </w:t>
      </w:r>
      <w:r w:rsidR="00DA3455" w:rsidRPr="000416E7">
        <w:rPr>
          <w:rFonts w:asciiTheme="majorHAnsi" w:hAnsiTheme="majorHAnsi" w:cstheme="majorHAnsi"/>
          <w:sz w:val="22"/>
          <w:szCs w:val="22"/>
        </w:rPr>
        <w:t xml:space="preserve">quantities that can appeal to </w:t>
      </w:r>
      <w:r w:rsidRPr="000416E7">
        <w:rPr>
          <w:rFonts w:asciiTheme="majorHAnsi" w:hAnsiTheme="majorHAnsi" w:cstheme="majorHAnsi"/>
          <w:sz w:val="22"/>
          <w:szCs w:val="22"/>
        </w:rPr>
        <w:t xml:space="preserve">debt capital markets (which often needs a minimum size &gt;£100 million). </w:t>
      </w:r>
      <w:r w:rsidR="00DA3455" w:rsidRPr="000416E7">
        <w:rPr>
          <w:rFonts w:asciiTheme="majorHAnsi" w:hAnsiTheme="majorHAnsi" w:cstheme="majorHAnsi"/>
          <w:sz w:val="22"/>
          <w:szCs w:val="22"/>
        </w:rPr>
        <w:t>London boroughs would ideally draw up r</w:t>
      </w:r>
      <w:r w:rsidRPr="000416E7">
        <w:rPr>
          <w:rFonts w:asciiTheme="majorHAnsi" w:hAnsiTheme="majorHAnsi" w:cstheme="majorHAnsi"/>
          <w:sz w:val="22"/>
          <w:szCs w:val="22"/>
        </w:rPr>
        <w:t xml:space="preserve">obust business cases to attract investors to projects seeking funding. </w:t>
      </w:r>
    </w:p>
    <w:p w14:paraId="797AA889" w14:textId="4256C819" w:rsidR="00873614"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This is a major task and London boroughs have worked through the UK</w:t>
      </w:r>
      <w:r w:rsidR="0054405F">
        <w:rPr>
          <w:rFonts w:asciiTheme="majorHAnsi" w:hAnsiTheme="majorHAnsi" w:cstheme="majorHAnsi"/>
          <w:sz w:val="22"/>
          <w:szCs w:val="22"/>
        </w:rPr>
        <w:t xml:space="preserve"> </w:t>
      </w:r>
      <w:r w:rsidRPr="000416E7">
        <w:rPr>
          <w:rFonts w:asciiTheme="majorHAnsi" w:hAnsiTheme="majorHAnsi" w:cstheme="majorHAnsi"/>
          <w:sz w:val="22"/>
          <w:szCs w:val="22"/>
        </w:rPr>
        <w:t xml:space="preserve">Cities Climate Investment Commission to </w:t>
      </w:r>
      <w:r w:rsidR="00DA3455" w:rsidRPr="000416E7">
        <w:rPr>
          <w:rFonts w:asciiTheme="majorHAnsi" w:hAnsiTheme="majorHAnsi" w:cstheme="majorHAnsi"/>
          <w:sz w:val="22"/>
          <w:szCs w:val="22"/>
        </w:rPr>
        <w:t xml:space="preserve">produce </w:t>
      </w:r>
      <w:r w:rsidRPr="000416E7">
        <w:rPr>
          <w:rFonts w:asciiTheme="majorHAnsi" w:hAnsiTheme="majorHAnsi" w:cstheme="majorHAnsi"/>
          <w:sz w:val="22"/>
          <w:szCs w:val="22"/>
        </w:rPr>
        <w:t>an overview pipeline of investment needs</w:t>
      </w:r>
      <w:r w:rsidRPr="000416E7">
        <w:rPr>
          <w:rStyle w:val="FootnoteReference"/>
          <w:rFonts w:asciiTheme="majorHAnsi" w:hAnsiTheme="majorHAnsi" w:cstheme="majorHAnsi"/>
          <w:sz w:val="22"/>
          <w:szCs w:val="22"/>
        </w:rPr>
        <w:footnoteReference w:id="4"/>
      </w:r>
      <w:r w:rsidR="00DA3455" w:rsidRPr="000416E7">
        <w:rPr>
          <w:rFonts w:asciiTheme="majorHAnsi" w:hAnsiTheme="majorHAnsi" w:cstheme="majorHAnsi"/>
          <w:sz w:val="22"/>
          <w:szCs w:val="22"/>
        </w:rPr>
        <w:t>.</w:t>
      </w:r>
      <w:r w:rsidRPr="000416E7">
        <w:rPr>
          <w:rFonts w:asciiTheme="majorHAnsi" w:hAnsiTheme="majorHAnsi" w:cstheme="majorHAnsi"/>
          <w:sz w:val="22"/>
          <w:szCs w:val="22"/>
        </w:rPr>
        <w:t xml:space="preserve"> </w:t>
      </w:r>
      <w:r w:rsidR="00DA3455" w:rsidRPr="000416E7">
        <w:rPr>
          <w:rFonts w:asciiTheme="majorHAnsi" w:hAnsiTheme="majorHAnsi" w:cstheme="majorHAnsi"/>
          <w:sz w:val="22"/>
          <w:szCs w:val="22"/>
        </w:rPr>
        <w:t>We</w:t>
      </w:r>
      <w:r w:rsidRPr="000416E7">
        <w:rPr>
          <w:rFonts w:asciiTheme="majorHAnsi" w:hAnsiTheme="majorHAnsi" w:cstheme="majorHAnsi"/>
          <w:sz w:val="22"/>
          <w:szCs w:val="22"/>
        </w:rPr>
        <w:t xml:space="preserve"> are </w:t>
      </w:r>
      <w:r w:rsidR="00DA3455" w:rsidRPr="000416E7">
        <w:rPr>
          <w:rFonts w:asciiTheme="majorHAnsi" w:hAnsiTheme="majorHAnsi" w:cstheme="majorHAnsi"/>
          <w:sz w:val="22"/>
          <w:szCs w:val="22"/>
        </w:rPr>
        <w:t xml:space="preserve">requesting input from public bodies in London to </w:t>
      </w:r>
      <w:r w:rsidRPr="000416E7">
        <w:rPr>
          <w:rFonts w:asciiTheme="majorHAnsi" w:hAnsiTheme="majorHAnsi" w:cstheme="majorHAnsi"/>
          <w:sz w:val="22"/>
          <w:szCs w:val="22"/>
        </w:rPr>
        <w:t xml:space="preserve">develop a bottom-up pipeline of investment </w:t>
      </w:r>
      <w:r w:rsidR="00DA3455" w:rsidRPr="000416E7">
        <w:rPr>
          <w:rFonts w:asciiTheme="majorHAnsi" w:hAnsiTheme="majorHAnsi" w:cstheme="majorHAnsi"/>
          <w:sz w:val="22"/>
          <w:szCs w:val="22"/>
        </w:rPr>
        <w:t>aspirations and plans</w:t>
      </w:r>
      <w:r w:rsidRPr="000416E7">
        <w:rPr>
          <w:rFonts w:asciiTheme="majorHAnsi" w:hAnsiTheme="majorHAnsi" w:cstheme="majorHAnsi"/>
          <w:sz w:val="22"/>
          <w:szCs w:val="22"/>
        </w:rPr>
        <w:t xml:space="preserve">.  Boroughs are being asked to identify single and multi-asset net-zero projects that public and private bodies would like </w:t>
      </w:r>
      <w:r w:rsidRPr="000416E7">
        <w:rPr>
          <w:rFonts w:asciiTheme="majorHAnsi" w:hAnsiTheme="majorHAnsi" w:cstheme="majorHAnsi"/>
          <w:sz w:val="22"/>
          <w:szCs w:val="22"/>
        </w:rPr>
        <w:lastRenderedPageBreak/>
        <w:t>to see financed. These are being categorised according to their maturity, ownership and whether there is a revenue stream that can be used to repay investors. The Retrofit London programme has modelled the need for £49 billion</w:t>
      </w:r>
      <w:bookmarkStart w:id="1" w:name="_GoBack"/>
      <w:bookmarkEnd w:id="1"/>
      <w:r w:rsidRPr="000416E7">
        <w:rPr>
          <w:rFonts w:asciiTheme="majorHAnsi" w:hAnsiTheme="majorHAnsi" w:cstheme="majorHAnsi"/>
          <w:sz w:val="22"/>
          <w:szCs w:val="22"/>
        </w:rPr>
        <w:t xml:space="preserve"> of investment to raise the average energy efficiency </w:t>
      </w:r>
      <w:r w:rsidR="00DA3455" w:rsidRPr="000416E7">
        <w:rPr>
          <w:rFonts w:asciiTheme="majorHAnsi" w:hAnsiTheme="majorHAnsi" w:cstheme="majorHAnsi"/>
          <w:sz w:val="22"/>
          <w:szCs w:val="22"/>
        </w:rPr>
        <w:t xml:space="preserve">of London homes </w:t>
      </w:r>
      <w:r w:rsidRPr="000416E7">
        <w:rPr>
          <w:rFonts w:asciiTheme="majorHAnsi" w:hAnsiTheme="majorHAnsi" w:cstheme="majorHAnsi"/>
          <w:sz w:val="22"/>
          <w:szCs w:val="22"/>
        </w:rPr>
        <w:t xml:space="preserve">to EPC B, and £98 billion to make the </w:t>
      </w:r>
      <w:r w:rsidR="00DA3455" w:rsidRPr="000416E7">
        <w:rPr>
          <w:rFonts w:asciiTheme="majorHAnsi" w:hAnsiTheme="majorHAnsi" w:cstheme="majorHAnsi"/>
          <w:sz w:val="22"/>
          <w:szCs w:val="22"/>
        </w:rPr>
        <w:t xml:space="preserve">homes </w:t>
      </w:r>
      <w:r w:rsidRPr="000416E7">
        <w:rPr>
          <w:rFonts w:asciiTheme="majorHAnsi" w:hAnsiTheme="majorHAnsi" w:cstheme="majorHAnsi"/>
          <w:sz w:val="22"/>
          <w:szCs w:val="22"/>
        </w:rPr>
        <w:t>net-zero.</w:t>
      </w:r>
      <w:r w:rsidRPr="000416E7">
        <w:rPr>
          <w:rStyle w:val="FootnoteReference"/>
          <w:rFonts w:asciiTheme="majorHAnsi" w:hAnsiTheme="majorHAnsi" w:cstheme="majorHAnsi"/>
          <w:sz w:val="22"/>
          <w:szCs w:val="22"/>
        </w:rPr>
        <w:footnoteReference w:id="5"/>
      </w:r>
    </w:p>
    <w:p w14:paraId="16473DA1" w14:textId="28E6FD03" w:rsidR="006E6060" w:rsidRPr="006E6060" w:rsidRDefault="006E6060" w:rsidP="00873614">
      <w:pPr>
        <w:rPr>
          <w:rFonts w:asciiTheme="majorHAnsi" w:hAnsiTheme="majorHAnsi" w:cstheme="majorHAnsi"/>
          <w:color w:val="FF0000"/>
          <w:sz w:val="22"/>
          <w:szCs w:val="22"/>
        </w:rPr>
      </w:pPr>
      <w:r w:rsidRPr="006E6060">
        <w:rPr>
          <w:rFonts w:asciiTheme="majorHAnsi" w:hAnsiTheme="majorHAnsi" w:cstheme="majorHAnsi"/>
          <w:color w:val="FF0000"/>
          <w:sz w:val="22"/>
          <w:szCs w:val="22"/>
        </w:rPr>
        <w:t xml:space="preserve">Local Boroughs </w:t>
      </w:r>
      <w:r w:rsidRPr="006E6060">
        <w:rPr>
          <w:rFonts w:asciiTheme="majorHAnsi" w:hAnsiTheme="majorHAnsi" w:cstheme="majorHAnsi"/>
          <w:color w:val="FF0000"/>
          <w:sz w:val="22"/>
          <w:szCs w:val="22"/>
        </w:rPr>
        <w:t xml:space="preserve">can </w:t>
      </w:r>
      <w:r w:rsidRPr="006E6060">
        <w:rPr>
          <w:rFonts w:asciiTheme="majorHAnsi" w:hAnsiTheme="majorHAnsi" w:cstheme="majorHAnsi"/>
          <w:color w:val="FF0000"/>
          <w:sz w:val="22"/>
          <w:szCs w:val="22"/>
        </w:rPr>
        <w:t>enter into partnership financing for schemes such as bridges, highway improvement or shared land and assets. This allow</w:t>
      </w:r>
      <w:r w:rsidRPr="006E6060">
        <w:rPr>
          <w:rFonts w:asciiTheme="majorHAnsi" w:hAnsiTheme="majorHAnsi" w:cstheme="majorHAnsi"/>
          <w:color w:val="FF0000"/>
          <w:sz w:val="22"/>
          <w:szCs w:val="22"/>
        </w:rPr>
        <w:t>s</w:t>
      </w:r>
      <w:r w:rsidRPr="006E6060">
        <w:rPr>
          <w:rFonts w:asciiTheme="majorHAnsi" w:hAnsiTheme="majorHAnsi" w:cstheme="majorHAnsi"/>
          <w:color w:val="FF0000"/>
          <w:sz w:val="22"/>
          <w:szCs w:val="22"/>
        </w:rPr>
        <w:t xml:space="preserve"> cross borough working without individual boroughs taking all the risk.</w:t>
      </w:r>
    </w:p>
    <w:p w14:paraId="71A076CB" w14:textId="77B4ADFB"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u w:val="single"/>
        </w:rPr>
        <w:t>Grant funding:</w:t>
      </w:r>
      <w:r w:rsidRPr="000416E7">
        <w:rPr>
          <w:rFonts w:asciiTheme="majorHAnsi" w:hAnsiTheme="majorHAnsi" w:cstheme="majorHAnsi"/>
          <w:sz w:val="22"/>
          <w:szCs w:val="22"/>
        </w:rPr>
        <w:t xml:space="preserve"> </w:t>
      </w:r>
      <w:r w:rsidR="00980E43" w:rsidRPr="000416E7">
        <w:rPr>
          <w:rFonts w:asciiTheme="majorHAnsi" w:hAnsiTheme="majorHAnsi" w:cstheme="majorHAnsi"/>
          <w:sz w:val="22"/>
          <w:szCs w:val="22"/>
        </w:rPr>
        <w:t xml:space="preserve">local government can access central government schemes for statutory duties like waste collection and disposal, social housing provision, </w:t>
      </w:r>
      <w:r w:rsidR="002D1022" w:rsidRPr="000416E7">
        <w:rPr>
          <w:rFonts w:asciiTheme="majorHAnsi" w:hAnsiTheme="majorHAnsi" w:cstheme="majorHAnsi"/>
          <w:sz w:val="22"/>
          <w:szCs w:val="22"/>
        </w:rPr>
        <w:t>and</w:t>
      </w:r>
      <w:r w:rsidR="00DA3455" w:rsidRPr="000416E7">
        <w:rPr>
          <w:rFonts w:asciiTheme="majorHAnsi" w:hAnsiTheme="majorHAnsi" w:cstheme="majorHAnsi"/>
          <w:sz w:val="22"/>
          <w:szCs w:val="22"/>
        </w:rPr>
        <w:t xml:space="preserve"> </w:t>
      </w:r>
      <w:r w:rsidR="00980E43" w:rsidRPr="000416E7">
        <w:rPr>
          <w:rFonts w:asciiTheme="majorHAnsi" w:hAnsiTheme="majorHAnsi" w:cstheme="majorHAnsi"/>
          <w:sz w:val="22"/>
          <w:szCs w:val="22"/>
        </w:rPr>
        <w:t>specific grants to decarbonise the local economy. These grants can be combined with private capital to enhance the return for unviable projects, or bear some of the policy risks.</w:t>
      </w:r>
    </w:p>
    <w:p w14:paraId="33FA40A9" w14:textId="09DD53E9"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u w:val="single"/>
        </w:rPr>
        <w:t>Local skills and local business development:</w:t>
      </w:r>
      <w:r w:rsidRPr="000416E7">
        <w:rPr>
          <w:rFonts w:asciiTheme="majorHAnsi" w:hAnsiTheme="majorHAnsi" w:cstheme="majorHAnsi"/>
          <w:sz w:val="22"/>
          <w:szCs w:val="22"/>
        </w:rPr>
        <w:t xml:space="preserve"> Skills and capability need to develop sufficiently to enable this transition to take place. The scale of need for work in retrofitting buildings alone means a requirement for thousands of skilled jobs as well as opportunities for businesses and suppliers. In London, it’s estimated that over 110,000 jobs would be created – an important boost for the economy.</w:t>
      </w:r>
      <w:r w:rsidR="00657E03" w:rsidRPr="000416E7">
        <w:rPr>
          <w:rFonts w:asciiTheme="majorHAnsi" w:hAnsiTheme="majorHAnsi" w:cstheme="majorHAnsi"/>
          <w:sz w:val="22"/>
          <w:szCs w:val="22"/>
        </w:rPr>
        <w:t xml:space="preserve"> </w:t>
      </w:r>
      <w:r w:rsidR="00587770" w:rsidRPr="000416E7">
        <w:rPr>
          <w:rFonts w:asciiTheme="majorHAnsi" w:hAnsiTheme="majorHAnsi" w:cstheme="majorHAnsi"/>
          <w:sz w:val="22"/>
          <w:szCs w:val="22"/>
        </w:rPr>
        <w:t>It is projected that</w:t>
      </w:r>
      <w:r w:rsidR="00AC5837" w:rsidRPr="000416E7">
        <w:rPr>
          <w:rFonts w:asciiTheme="majorHAnsi" w:hAnsiTheme="majorHAnsi" w:cstheme="majorHAnsi"/>
          <w:sz w:val="22"/>
          <w:szCs w:val="22"/>
        </w:rPr>
        <w:t xml:space="preserve"> the number of jobs in</w:t>
      </w:r>
      <w:r w:rsidR="00587770" w:rsidRPr="000416E7">
        <w:rPr>
          <w:rFonts w:asciiTheme="majorHAnsi" w:hAnsiTheme="majorHAnsi" w:cstheme="majorHAnsi"/>
          <w:sz w:val="22"/>
          <w:szCs w:val="22"/>
        </w:rPr>
        <w:t xml:space="preserve"> London’s green economy </w:t>
      </w:r>
      <w:r w:rsidR="00AC5837" w:rsidRPr="000416E7">
        <w:rPr>
          <w:rFonts w:asciiTheme="majorHAnsi" w:hAnsiTheme="majorHAnsi" w:cstheme="majorHAnsi"/>
          <w:sz w:val="22"/>
          <w:szCs w:val="22"/>
        </w:rPr>
        <w:t>will more than double by 2030</w:t>
      </w:r>
      <w:r w:rsidR="00AB1F4D" w:rsidRPr="000416E7">
        <w:rPr>
          <w:rFonts w:asciiTheme="majorHAnsi" w:hAnsiTheme="majorHAnsi" w:cstheme="majorHAnsi"/>
          <w:sz w:val="22"/>
          <w:szCs w:val="22"/>
        </w:rPr>
        <w:t xml:space="preserve"> and quadruple by 2050, with four</w:t>
      </w:r>
      <w:r w:rsidR="00E6460B" w:rsidRPr="000416E7">
        <w:rPr>
          <w:rFonts w:asciiTheme="majorHAnsi" w:hAnsiTheme="majorHAnsi" w:cstheme="majorHAnsi"/>
          <w:sz w:val="22"/>
          <w:szCs w:val="22"/>
        </w:rPr>
        <w:t xml:space="preserve"> economic</w:t>
      </w:r>
      <w:r w:rsidR="00AB1F4D" w:rsidRPr="000416E7">
        <w:rPr>
          <w:rFonts w:asciiTheme="majorHAnsi" w:hAnsiTheme="majorHAnsi" w:cstheme="majorHAnsi"/>
          <w:sz w:val="22"/>
          <w:szCs w:val="22"/>
        </w:rPr>
        <w:t xml:space="preserve"> sectors </w:t>
      </w:r>
      <w:r w:rsidR="00E6460B" w:rsidRPr="000416E7">
        <w:rPr>
          <w:rFonts w:asciiTheme="majorHAnsi" w:hAnsiTheme="majorHAnsi" w:cstheme="majorHAnsi"/>
          <w:sz w:val="22"/>
          <w:szCs w:val="22"/>
        </w:rPr>
        <w:t xml:space="preserve">comprising the bulk of </w:t>
      </w:r>
      <w:r w:rsidR="00BD594E" w:rsidRPr="000416E7">
        <w:rPr>
          <w:rFonts w:asciiTheme="majorHAnsi" w:hAnsiTheme="majorHAnsi" w:cstheme="majorHAnsi"/>
          <w:sz w:val="22"/>
          <w:szCs w:val="22"/>
        </w:rPr>
        <w:t>those jobs: Green finance, low-carbon transport, homes and buildings, and power.</w:t>
      </w:r>
      <w:r w:rsidR="00EB5031" w:rsidRPr="000416E7">
        <w:rPr>
          <w:rFonts w:asciiTheme="majorHAnsi" w:hAnsiTheme="majorHAnsi" w:cstheme="majorHAnsi"/>
          <w:sz w:val="22"/>
          <w:szCs w:val="22"/>
        </w:rPr>
        <w:t xml:space="preserve"> </w:t>
      </w:r>
      <w:r w:rsidR="009058E6" w:rsidRPr="000416E7">
        <w:rPr>
          <w:rFonts w:asciiTheme="majorHAnsi" w:hAnsiTheme="majorHAnsi" w:cstheme="majorHAnsi"/>
          <w:sz w:val="22"/>
          <w:szCs w:val="22"/>
        </w:rPr>
        <w:t>Commensurately, each sector will encounter</w:t>
      </w:r>
      <w:r w:rsidR="00CC5FD5" w:rsidRPr="000416E7">
        <w:rPr>
          <w:rFonts w:asciiTheme="majorHAnsi" w:hAnsiTheme="majorHAnsi" w:cstheme="majorHAnsi"/>
          <w:sz w:val="22"/>
          <w:szCs w:val="22"/>
        </w:rPr>
        <w:t xml:space="preserve"> challenges sourcing the necessary skills and </w:t>
      </w:r>
      <w:r w:rsidR="001D70DE" w:rsidRPr="000416E7">
        <w:rPr>
          <w:rFonts w:asciiTheme="majorHAnsi" w:hAnsiTheme="majorHAnsi" w:cstheme="majorHAnsi"/>
          <w:sz w:val="22"/>
          <w:szCs w:val="22"/>
        </w:rPr>
        <w:t xml:space="preserve">investment needed to </w:t>
      </w:r>
      <w:r w:rsidR="00C945CD" w:rsidRPr="000416E7">
        <w:rPr>
          <w:rFonts w:asciiTheme="majorHAnsi" w:hAnsiTheme="majorHAnsi" w:cstheme="majorHAnsi"/>
          <w:sz w:val="22"/>
          <w:szCs w:val="22"/>
        </w:rPr>
        <w:t>create such jobs, and local government is well placed to serve as a leader and co-ordinator</w:t>
      </w:r>
      <w:r w:rsidR="00817ACC" w:rsidRPr="000416E7">
        <w:rPr>
          <w:rFonts w:asciiTheme="majorHAnsi" w:hAnsiTheme="majorHAnsi" w:cstheme="majorHAnsi"/>
          <w:sz w:val="22"/>
          <w:szCs w:val="22"/>
        </w:rPr>
        <w:t xml:space="preserve"> in this aspect.</w:t>
      </w:r>
      <w:r w:rsidR="00222C37" w:rsidRPr="000416E7">
        <w:rPr>
          <w:rStyle w:val="FootnoteReference"/>
          <w:rFonts w:asciiTheme="majorHAnsi" w:hAnsiTheme="majorHAnsi" w:cstheme="majorHAnsi"/>
          <w:sz w:val="22"/>
          <w:szCs w:val="22"/>
        </w:rPr>
        <w:footnoteReference w:id="6"/>
      </w:r>
      <w:r w:rsidRPr="000416E7">
        <w:rPr>
          <w:rFonts w:asciiTheme="majorHAnsi" w:hAnsiTheme="majorHAnsi" w:cstheme="majorHAnsi"/>
          <w:sz w:val="22"/>
          <w:szCs w:val="22"/>
        </w:rPr>
        <w:t xml:space="preserve"> Local government can play a major role in identifying skills shortage</w:t>
      </w:r>
      <w:r w:rsidR="0054405F">
        <w:rPr>
          <w:rFonts w:asciiTheme="majorHAnsi" w:hAnsiTheme="majorHAnsi" w:cstheme="majorHAnsi"/>
          <w:sz w:val="22"/>
          <w:szCs w:val="22"/>
        </w:rPr>
        <w:t>s</w:t>
      </w:r>
      <w:r w:rsidRPr="000416E7">
        <w:rPr>
          <w:rFonts w:asciiTheme="majorHAnsi" w:hAnsiTheme="majorHAnsi" w:cstheme="majorHAnsi"/>
          <w:sz w:val="22"/>
          <w:szCs w:val="22"/>
        </w:rPr>
        <w:t>, working with educational bodies and trades to provide appropriate training, using procurement to pump-prime markets for new technologies like air-source heat pumps, novel retrofit technologies. (London boroughs have trialled the use of infra-red cameras to locate poorly insulated homes, experimented with robots to install underfloor insulation.)</w:t>
      </w:r>
    </w:p>
    <w:p w14:paraId="47E2D10F" w14:textId="77777777" w:rsidR="00F82976"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u w:val="single"/>
        </w:rPr>
        <w:t>Planning and local economic plans</w:t>
      </w:r>
      <w:r w:rsidRPr="000416E7">
        <w:rPr>
          <w:rFonts w:asciiTheme="majorHAnsi" w:hAnsiTheme="majorHAnsi" w:cstheme="majorHAnsi"/>
          <w:sz w:val="22"/>
          <w:szCs w:val="22"/>
        </w:rPr>
        <w:t xml:space="preserve">: There are some policy changes that local government can make to simplify net-zero investment such as energy-efficient retrofitting its own buildings, changes to car parking provisions or use of permitted development. </w:t>
      </w:r>
    </w:p>
    <w:p w14:paraId="6F259918" w14:textId="688CDEC1"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However, more needs to be done at the national level specifying higher energy efficiency standards for new build or retrofits through building regulations, or the inclusion of renewable energy in new developments. </w:t>
      </w:r>
      <w:r w:rsidR="00F82976" w:rsidRPr="000416E7">
        <w:rPr>
          <w:rFonts w:asciiTheme="majorHAnsi" w:hAnsiTheme="majorHAnsi" w:cstheme="majorHAnsi"/>
          <w:sz w:val="22"/>
          <w:szCs w:val="22"/>
        </w:rPr>
        <w:t xml:space="preserve"> </w:t>
      </w:r>
      <w:r w:rsidRPr="000416E7">
        <w:rPr>
          <w:rFonts w:asciiTheme="majorHAnsi" w:hAnsiTheme="majorHAnsi" w:cstheme="majorHAnsi"/>
          <w:sz w:val="22"/>
          <w:szCs w:val="22"/>
        </w:rPr>
        <w:t>Local government has found it difficult to apply standards go</w:t>
      </w:r>
      <w:r w:rsidR="00F82976" w:rsidRPr="000416E7">
        <w:rPr>
          <w:rFonts w:asciiTheme="majorHAnsi" w:hAnsiTheme="majorHAnsi" w:cstheme="majorHAnsi"/>
          <w:sz w:val="22"/>
          <w:szCs w:val="22"/>
        </w:rPr>
        <w:t>ing</w:t>
      </w:r>
      <w:r w:rsidRPr="000416E7">
        <w:rPr>
          <w:rFonts w:asciiTheme="majorHAnsi" w:hAnsiTheme="majorHAnsi" w:cstheme="majorHAnsi"/>
          <w:sz w:val="22"/>
          <w:szCs w:val="22"/>
        </w:rPr>
        <w:t xml:space="preserve"> beyond national building standards </w:t>
      </w:r>
      <w:r w:rsidR="00F82976" w:rsidRPr="000416E7">
        <w:rPr>
          <w:rFonts w:asciiTheme="majorHAnsi" w:hAnsiTheme="majorHAnsi" w:cstheme="majorHAnsi"/>
          <w:sz w:val="22"/>
          <w:szCs w:val="22"/>
        </w:rPr>
        <w:t xml:space="preserve">as </w:t>
      </w:r>
      <w:r w:rsidRPr="000416E7">
        <w:rPr>
          <w:rFonts w:asciiTheme="majorHAnsi" w:hAnsiTheme="majorHAnsi" w:cstheme="majorHAnsi"/>
          <w:sz w:val="22"/>
          <w:szCs w:val="22"/>
        </w:rPr>
        <w:t xml:space="preserve">developers argue that higher standards hurt the </w:t>
      </w:r>
      <w:r w:rsidRPr="000416E7">
        <w:rPr>
          <w:rFonts w:asciiTheme="majorHAnsi" w:hAnsiTheme="majorHAnsi" w:cstheme="majorHAnsi"/>
          <w:i/>
          <w:iCs/>
          <w:sz w:val="22"/>
          <w:szCs w:val="22"/>
        </w:rPr>
        <w:t>viability</w:t>
      </w:r>
      <w:r w:rsidRPr="000416E7">
        <w:rPr>
          <w:rFonts w:asciiTheme="majorHAnsi" w:hAnsiTheme="majorHAnsi" w:cstheme="majorHAnsi"/>
          <w:sz w:val="22"/>
          <w:szCs w:val="22"/>
        </w:rPr>
        <w:t xml:space="preserve"> of the scheme, especially when local authorities are asking developers </w:t>
      </w:r>
      <w:r w:rsidR="00924C3A">
        <w:rPr>
          <w:rFonts w:asciiTheme="majorHAnsi" w:hAnsiTheme="majorHAnsi" w:cstheme="majorHAnsi"/>
          <w:sz w:val="22"/>
          <w:szCs w:val="22"/>
        </w:rPr>
        <w:t xml:space="preserve">to </w:t>
      </w:r>
      <w:r w:rsidRPr="000416E7">
        <w:rPr>
          <w:rFonts w:asciiTheme="majorHAnsi" w:hAnsiTheme="majorHAnsi" w:cstheme="majorHAnsi"/>
          <w:sz w:val="22"/>
          <w:szCs w:val="22"/>
        </w:rPr>
        <w:t>provide social housing and community infrastructure.</w:t>
      </w:r>
    </w:p>
    <w:p w14:paraId="7B861CCF" w14:textId="22D3B3AB" w:rsidR="00A0471C" w:rsidRPr="000416E7" w:rsidRDefault="009A4FDE" w:rsidP="00873614">
      <w:pPr>
        <w:rPr>
          <w:rFonts w:asciiTheme="majorHAnsi" w:hAnsiTheme="majorHAnsi" w:cstheme="majorHAnsi"/>
          <w:sz w:val="22"/>
          <w:szCs w:val="22"/>
          <w:u w:val="single"/>
        </w:rPr>
      </w:pPr>
      <w:r w:rsidRPr="000416E7">
        <w:rPr>
          <w:rFonts w:asciiTheme="majorHAnsi" w:hAnsiTheme="majorHAnsi" w:cstheme="majorHAnsi"/>
          <w:sz w:val="22"/>
          <w:szCs w:val="22"/>
          <w:u w:val="single"/>
        </w:rPr>
        <w:t xml:space="preserve">Local </w:t>
      </w:r>
      <w:r w:rsidR="002D1022" w:rsidRPr="000416E7">
        <w:rPr>
          <w:rFonts w:asciiTheme="majorHAnsi" w:hAnsiTheme="majorHAnsi" w:cstheme="majorHAnsi"/>
          <w:sz w:val="22"/>
          <w:szCs w:val="22"/>
          <w:u w:val="single"/>
        </w:rPr>
        <w:t>authorities’</w:t>
      </w:r>
      <w:r w:rsidRPr="000416E7">
        <w:rPr>
          <w:rFonts w:asciiTheme="majorHAnsi" w:hAnsiTheme="majorHAnsi" w:cstheme="majorHAnsi"/>
          <w:sz w:val="22"/>
          <w:szCs w:val="22"/>
          <w:u w:val="single"/>
        </w:rPr>
        <w:t xml:space="preserve"> role in identifying priorities and developing projects:</w:t>
      </w:r>
      <w:r w:rsidRPr="000416E7">
        <w:rPr>
          <w:rFonts w:asciiTheme="majorHAnsi" w:hAnsiTheme="majorHAnsi" w:cstheme="majorHAnsi"/>
          <w:sz w:val="22"/>
          <w:szCs w:val="22"/>
        </w:rPr>
        <w:t xml:space="preserve"> There is a very important role for the local and regional government her</w:t>
      </w:r>
      <w:r w:rsidR="00924C3A">
        <w:rPr>
          <w:rFonts w:asciiTheme="majorHAnsi" w:hAnsiTheme="majorHAnsi" w:cstheme="majorHAnsi"/>
          <w:sz w:val="22"/>
          <w:szCs w:val="22"/>
        </w:rPr>
        <w:t>e</w:t>
      </w:r>
      <w:r w:rsidRPr="000416E7">
        <w:rPr>
          <w:rFonts w:asciiTheme="majorHAnsi" w:hAnsiTheme="majorHAnsi" w:cstheme="majorHAnsi"/>
          <w:sz w:val="22"/>
          <w:szCs w:val="22"/>
        </w:rPr>
        <w:t xml:space="preserve"> as they have the local knowledge and understanding of what is happening at a local level and how best to engage stakeholders and deliver these projects. Local Authorities lack the resources to develop the business cases for investments needed to deliver their low carbon investment strategies. Often policy officer time is taken bidding for piece-meal grants. This </w:t>
      </w:r>
      <w:r w:rsidRPr="000416E7">
        <w:rPr>
          <w:rFonts w:asciiTheme="majorHAnsi" w:hAnsiTheme="majorHAnsi" w:cstheme="majorHAnsi"/>
          <w:sz w:val="22"/>
          <w:szCs w:val="22"/>
        </w:rPr>
        <w:lastRenderedPageBreak/>
        <w:t xml:space="preserve">means the bidding process is very resource intensive </w:t>
      </w:r>
      <w:r w:rsidR="00553FE5">
        <w:rPr>
          <w:rFonts w:asciiTheme="majorHAnsi" w:hAnsiTheme="majorHAnsi" w:cstheme="majorHAnsi"/>
          <w:sz w:val="22"/>
          <w:szCs w:val="22"/>
        </w:rPr>
        <w:t xml:space="preserve">relative to </w:t>
      </w:r>
      <w:r w:rsidRPr="000416E7">
        <w:rPr>
          <w:rFonts w:asciiTheme="majorHAnsi" w:hAnsiTheme="majorHAnsi" w:cstheme="majorHAnsi"/>
          <w:sz w:val="22"/>
          <w:szCs w:val="22"/>
        </w:rPr>
        <w:t xml:space="preserve">the </w:t>
      </w:r>
      <w:r w:rsidR="00553FE5">
        <w:rPr>
          <w:rFonts w:asciiTheme="majorHAnsi" w:hAnsiTheme="majorHAnsi" w:cstheme="majorHAnsi"/>
          <w:sz w:val="22"/>
          <w:szCs w:val="22"/>
        </w:rPr>
        <w:t xml:space="preserve">value of the </w:t>
      </w:r>
      <w:r w:rsidRPr="000416E7">
        <w:rPr>
          <w:rFonts w:asciiTheme="majorHAnsi" w:hAnsiTheme="majorHAnsi" w:cstheme="majorHAnsi"/>
          <w:sz w:val="22"/>
          <w:szCs w:val="22"/>
        </w:rPr>
        <w:t xml:space="preserve">grants. Whilst it may </w:t>
      </w:r>
      <w:r w:rsidR="00924C3A">
        <w:rPr>
          <w:rFonts w:asciiTheme="majorHAnsi" w:hAnsiTheme="majorHAnsi" w:cstheme="majorHAnsi"/>
          <w:sz w:val="22"/>
          <w:szCs w:val="22"/>
        </w:rPr>
        <w:t xml:space="preserve">be </w:t>
      </w:r>
      <w:r w:rsidRPr="000416E7">
        <w:rPr>
          <w:rFonts w:asciiTheme="majorHAnsi" w:hAnsiTheme="majorHAnsi" w:cstheme="majorHAnsi"/>
          <w:sz w:val="22"/>
          <w:szCs w:val="22"/>
        </w:rPr>
        <w:t>impracticable for there to be an appropriate level of expertise and resource in each local authority there is an opportunity to develop a regional model such as has been developed in London</w:t>
      </w:r>
      <w:r w:rsidR="00236C50">
        <w:rPr>
          <w:rFonts w:asciiTheme="majorHAnsi" w:hAnsiTheme="majorHAnsi" w:cstheme="majorHAnsi"/>
          <w:sz w:val="22"/>
          <w:szCs w:val="22"/>
        </w:rPr>
        <w:t xml:space="preserve">. The government has announced £22 million in </w:t>
      </w:r>
      <w:r w:rsidR="00236C50" w:rsidRPr="00236C50">
        <w:rPr>
          <w:rFonts w:asciiTheme="majorHAnsi" w:hAnsiTheme="majorHAnsi" w:cstheme="majorHAnsi"/>
          <w:sz w:val="22"/>
          <w:szCs w:val="22"/>
        </w:rPr>
        <w:t xml:space="preserve">funding for the creation and continuing support of five Local Net Zero Hubs. The Hubs promote best practice and support local authorities to develop net zero projects that can attract commercial investment. </w:t>
      </w:r>
    </w:p>
    <w:p w14:paraId="106F1619" w14:textId="48FF0C42" w:rsidR="00873614" w:rsidRPr="000416E7" w:rsidRDefault="00980E43" w:rsidP="00873614">
      <w:pPr>
        <w:rPr>
          <w:rFonts w:asciiTheme="majorHAnsi" w:hAnsiTheme="majorHAnsi" w:cstheme="majorHAnsi"/>
          <w:sz w:val="22"/>
          <w:szCs w:val="22"/>
        </w:rPr>
      </w:pPr>
      <w:r w:rsidRPr="000416E7">
        <w:rPr>
          <w:rFonts w:asciiTheme="majorHAnsi" w:hAnsiTheme="majorHAnsi" w:cstheme="majorHAnsi"/>
          <w:sz w:val="22"/>
          <w:szCs w:val="22"/>
          <w:u w:val="single"/>
        </w:rPr>
        <w:t>Barriers faced by local government</w:t>
      </w:r>
      <w:r w:rsidR="00873614" w:rsidRPr="000416E7">
        <w:rPr>
          <w:rFonts w:asciiTheme="majorHAnsi" w:hAnsiTheme="majorHAnsi" w:cstheme="majorHAnsi"/>
          <w:sz w:val="22"/>
          <w:szCs w:val="22"/>
        </w:rPr>
        <w:t>: Currently, local authorities face substantial barriers to attracting private capital to fund their strategies. The figure below shows how several market failures frustrate investment in low carbon opportunities. Only renewable energy is deemed as well suited to private sector investment through the specific policy support via the contract-for-difference and renewable heat incentive policies.</w:t>
      </w:r>
    </w:p>
    <w:p w14:paraId="10AF719C" w14:textId="7FA2750A"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Investments in the local government programmes cannot easily be financed from commercial sources because of the principal-agent issues (where assets owners </w:t>
      </w:r>
      <w:r w:rsidR="00F82976" w:rsidRPr="000416E7">
        <w:rPr>
          <w:rFonts w:asciiTheme="majorHAnsi" w:hAnsiTheme="majorHAnsi" w:cstheme="majorHAnsi"/>
          <w:sz w:val="22"/>
          <w:szCs w:val="22"/>
        </w:rPr>
        <w:t xml:space="preserve">are asked to invest in low </w:t>
      </w:r>
      <w:r w:rsidRPr="000416E7">
        <w:rPr>
          <w:rFonts w:asciiTheme="majorHAnsi" w:hAnsiTheme="majorHAnsi" w:cstheme="majorHAnsi"/>
          <w:sz w:val="22"/>
          <w:szCs w:val="22"/>
        </w:rPr>
        <w:t xml:space="preserve">carbon </w:t>
      </w:r>
      <w:r w:rsidR="00F82976" w:rsidRPr="000416E7">
        <w:rPr>
          <w:rFonts w:asciiTheme="majorHAnsi" w:hAnsiTheme="majorHAnsi" w:cstheme="majorHAnsi"/>
          <w:sz w:val="22"/>
          <w:szCs w:val="22"/>
        </w:rPr>
        <w:t xml:space="preserve">measures </w:t>
      </w:r>
      <w:r w:rsidRPr="000416E7">
        <w:rPr>
          <w:rFonts w:asciiTheme="majorHAnsi" w:hAnsiTheme="majorHAnsi" w:cstheme="majorHAnsi"/>
          <w:sz w:val="22"/>
          <w:szCs w:val="22"/>
        </w:rPr>
        <w:t xml:space="preserve">but the benefits cannot be recouped from higher user charges), lack of rewards for non-market benefits </w:t>
      </w:r>
      <w:r w:rsidR="00D12CE7" w:rsidRPr="000416E7">
        <w:rPr>
          <w:rFonts w:asciiTheme="majorHAnsi" w:hAnsiTheme="majorHAnsi" w:cstheme="majorHAnsi"/>
          <w:sz w:val="22"/>
          <w:szCs w:val="22"/>
        </w:rPr>
        <w:t xml:space="preserve">like </w:t>
      </w:r>
      <w:r w:rsidRPr="000416E7">
        <w:rPr>
          <w:rFonts w:asciiTheme="majorHAnsi" w:hAnsiTheme="majorHAnsi" w:cstheme="majorHAnsi"/>
          <w:sz w:val="22"/>
          <w:szCs w:val="22"/>
        </w:rPr>
        <w:t xml:space="preserve">biodiversity, carbon and health gains. The same is true for other environmental goals such as </w:t>
      </w:r>
      <w:r w:rsidR="00D12CE7" w:rsidRPr="000416E7">
        <w:rPr>
          <w:rFonts w:asciiTheme="majorHAnsi" w:hAnsiTheme="majorHAnsi" w:cstheme="majorHAnsi"/>
          <w:sz w:val="22"/>
          <w:szCs w:val="22"/>
        </w:rPr>
        <w:t xml:space="preserve">promoting </w:t>
      </w:r>
      <w:r w:rsidRPr="000416E7">
        <w:rPr>
          <w:rFonts w:asciiTheme="majorHAnsi" w:hAnsiTheme="majorHAnsi" w:cstheme="majorHAnsi"/>
          <w:sz w:val="22"/>
          <w:szCs w:val="22"/>
        </w:rPr>
        <w:t>circular economy</w:t>
      </w:r>
      <w:r w:rsidR="00D12CE7" w:rsidRPr="000416E7">
        <w:rPr>
          <w:rFonts w:asciiTheme="majorHAnsi" w:hAnsiTheme="majorHAnsi" w:cstheme="majorHAnsi"/>
          <w:sz w:val="22"/>
          <w:szCs w:val="22"/>
        </w:rPr>
        <w:t xml:space="preserve"> or reducing</w:t>
      </w:r>
      <w:r w:rsidRPr="000416E7">
        <w:rPr>
          <w:rFonts w:asciiTheme="majorHAnsi" w:hAnsiTheme="majorHAnsi" w:cstheme="majorHAnsi"/>
          <w:sz w:val="22"/>
          <w:szCs w:val="22"/>
        </w:rPr>
        <w:t xml:space="preserve"> micro-plastic </w:t>
      </w:r>
      <w:r w:rsidR="00D12CE7" w:rsidRPr="000416E7">
        <w:rPr>
          <w:rFonts w:asciiTheme="majorHAnsi" w:hAnsiTheme="majorHAnsi" w:cstheme="majorHAnsi"/>
          <w:sz w:val="22"/>
          <w:szCs w:val="22"/>
        </w:rPr>
        <w:t xml:space="preserve">and water </w:t>
      </w:r>
      <w:r w:rsidRPr="000416E7">
        <w:rPr>
          <w:rFonts w:asciiTheme="majorHAnsi" w:hAnsiTheme="majorHAnsi" w:cstheme="majorHAnsi"/>
          <w:sz w:val="22"/>
          <w:szCs w:val="22"/>
        </w:rPr>
        <w:t>pollution.</w:t>
      </w:r>
    </w:p>
    <w:p w14:paraId="35A62DD0" w14:textId="77777777"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noProof/>
          <w:sz w:val="22"/>
          <w:szCs w:val="22"/>
        </w:rPr>
        <w:drawing>
          <wp:inline distT="0" distB="0" distL="0" distR="0" wp14:anchorId="09CE5051" wp14:editId="4AEBE806">
            <wp:extent cx="5731510" cy="35109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510915"/>
                    </a:xfrm>
                    <a:prstGeom prst="rect">
                      <a:avLst/>
                    </a:prstGeom>
                  </pic:spPr>
                </pic:pic>
              </a:graphicData>
            </a:graphic>
          </wp:inline>
        </w:drawing>
      </w:r>
    </w:p>
    <w:p w14:paraId="43384A9F" w14:textId="77777777"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Source: CCIC Report “City Investment Analysis Report”</w:t>
      </w:r>
    </w:p>
    <w:p w14:paraId="453C44C7" w14:textId="77777777" w:rsidR="00D12CE7" w:rsidRPr="000416E7" w:rsidRDefault="00D12CE7" w:rsidP="00873614">
      <w:pPr>
        <w:rPr>
          <w:rFonts w:asciiTheme="majorHAnsi" w:hAnsiTheme="majorHAnsi" w:cstheme="majorHAnsi"/>
          <w:sz w:val="22"/>
          <w:szCs w:val="22"/>
        </w:rPr>
      </w:pPr>
    </w:p>
    <w:p w14:paraId="22418586" w14:textId="77777777" w:rsidR="00136681" w:rsidRPr="000416E7" w:rsidRDefault="00136681" w:rsidP="00873614">
      <w:pPr>
        <w:rPr>
          <w:rFonts w:asciiTheme="majorHAnsi" w:hAnsiTheme="majorHAnsi" w:cstheme="majorHAnsi"/>
          <w:sz w:val="22"/>
          <w:szCs w:val="22"/>
        </w:rPr>
      </w:pPr>
    </w:p>
    <w:p w14:paraId="7404839B" w14:textId="77777777" w:rsidR="00873614" w:rsidRPr="000416E7" w:rsidRDefault="00873614" w:rsidP="00873614">
      <w:pPr>
        <w:rPr>
          <w:rFonts w:asciiTheme="majorHAnsi" w:hAnsiTheme="majorHAnsi" w:cstheme="majorHAnsi"/>
          <w:b/>
          <w:bCs/>
          <w:sz w:val="22"/>
          <w:szCs w:val="22"/>
        </w:rPr>
      </w:pPr>
      <w:r w:rsidRPr="000416E7">
        <w:rPr>
          <w:rFonts w:asciiTheme="majorHAnsi" w:hAnsiTheme="majorHAnsi" w:cstheme="majorHAnsi"/>
          <w:b/>
          <w:bCs/>
          <w:sz w:val="22"/>
          <w:szCs w:val="22"/>
        </w:rPr>
        <w:t xml:space="preserve">19. What is the current state of capability within local authorities to attract investment, and how can it best be supported? </w:t>
      </w:r>
    </w:p>
    <w:p w14:paraId="0660D193" w14:textId="5DDC3E65" w:rsidR="00165800"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lastRenderedPageBreak/>
        <w:t xml:space="preserve">London local authorities have traditionally financed their investment from a mixture of capital grants or borrowing from Public Works Loan Board which </w:t>
      </w:r>
      <w:r w:rsidR="00DF34B4" w:rsidRPr="000416E7">
        <w:rPr>
          <w:rFonts w:asciiTheme="majorHAnsi" w:hAnsiTheme="majorHAnsi" w:cstheme="majorHAnsi"/>
          <w:sz w:val="22"/>
          <w:szCs w:val="22"/>
        </w:rPr>
        <w:t>offers</w:t>
      </w:r>
      <w:r w:rsidRPr="000416E7">
        <w:rPr>
          <w:rFonts w:asciiTheme="majorHAnsi" w:hAnsiTheme="majorHAnsi" w:cstheme="majorHAnsi"/>
          <w:sz w:val="22"/>
          <w:szCs w:val="22"/>
        </w:rPr>
        <w:t xml:space="preserve"> finance </w:t>
      </w:r>
      <w:r w:rsidR="00DF34B4" w:rsidRPr="000416E7">
        <w:rPr>
          <w:rFonts w:asciiTheme="majorHAnsi" w:hAnsiTheme="majorHAnsi" w:cstheme="majorHAnsi"/>
          <w:sz w:val="22"/>
          <w:szCs w:val="22"/>
        </w:rPr>
        <w:t xml:space="preserve">on favourable </w:t>
      </w:r>
      <w:r w:rsidR="00A03C57" w:rsidRPr="000416E7">
        <w:rPr>
          <w:rFonts w:asciiTheme="majorHAnsi" w:hAnsiTheme="majorHAnsi" w:cstheme="majorHAnsi"/>
          <w:sz w:val="22"/>
          <w:szCs w:val="22"/>
        </w:rPr>
        <w:t xml:space="preserve">terms </w:t>
      </w:r>
      <w:r w:rsidRPr="000416E7">
        <w:rPr>
          <w:rFonts w:asciiTheme="majorHAnsi" w:hAnsiTheme="majorHAnsi" w:cstheme="majorHAnsi"/>
          <w:sz w:val="22"/>
          <w:szCs w:val="22"/>
        </w:rPr>
        <w:t xml:space="preserve">(though the debt is on the local authorities’ balance sheet). </w:t>
      </w:r>
    </w:p>
    <w:p w14:paraId="2A0F21E2" w14:textId="5BAC3C4D" w:rsidR="00A03C57" w:rsidRDefault="00A03C57" w:rsidP="00867FB2">
      <w:pPr>
        <w:rPr>
          <w:rFonts w:asciiTheme="majorHAnsi" w:hAnsiTheme="majorHAnsi" w:cstheme="majorHAnsi"/>
          <w:sz w:val="22"/>
          <w:szCs w:val="22"/>
        </w:rPr>
      </w:pPr>
      <w:r w:rsidRPr="000416E7">
        <w:rPr>
          <w:rFonts w:asciiTheme="majorHAnsi" w:hAnsiTheme="majorHAnsi" w:cstheme="majorHAnsi"/>
          <w:sz w:val="22"/>
          <w:szCs w:val="22"/>
        </w:rPr>
        <w:t>Islington</w:t>
      </w:r>
      <w:r w:rsidR="00830C4E">
        <w:rPr>
          <w:rFonts w:asciiTheme="majorHAnsi" w:hAnsiTheme="majorHAnsi" w:cstheme="majorHAnsi"/>
          <w:sz w:val="22"/>
          <w:szCs w:val="22"/>
        </w:rPr>
        <w:t xml:space="preserve"> and London Councils through the UK CCIC</w:t>
      </w:r>
      <w:r w:rsidRPr="000416E7">
        <w:rPr>
          <w:rFonts w:asciiTheme="majorHAnsi" w:hAnsiTheme="majorHAnsi" w:cstheme="majorHAnsi"/>
          <w:sz w:val="22"/>
          <w:szCs w:val="22"/>
        </w:rPr>
        <w:t xml:space="preserve"> is in early discussions with UK Infrastructure Bank around potential funding for our capital programmes and has a positive working relationship with the Green Finance Institu</w:t>
      </w:r>
      <w:r w:rsidR="00B44930">
        <w:rPr>
          <w:rFonts w:asciiTheme="majorHAnsi" w:hAnsiTheme="majorHAnsi" w:cstheme="majorHAnsi"/>
          <w:sz w:val="22"/>
          <w:szCs w:val="22"/>
        </w:rPr>
        <w:t>t</w:t>
      </w:r>
      <w:r w:rsidRPr="000416E7">
        <w:rPr>
          <w:rFonts w:asciiTheme="majorHAnsi" w:hAnsiTheme="majorHAnsi" w:cstheme="majorHAnsi"/>
          <w:sz w:val="22"/>
          <w:szCs w:val="22"/>
        </w:rPr>
        <w:t>e.</w:t>
      </w:r>
      <w:r w:rsidR="009522FD" w:rsidRPr="000416E7">
        <w:rPr>
          <w:rFonts w:asciiTheme="majorHAnsi" w:hAnsiTheme="majorHAnsi" w:cstheme="majorHAnsi"/>
          <w:sz w:val="22"/>
          <w:szCs w:val="22"/>
        </w:rPr>
        <w:t xml:space="preserve"> London councils </w:t>
      </w:r>
      <w:r w:rsidRPr="000416E7">
        <w:rPr>
          <w:rFonts w:asciiTheme="majorHAnsi" w:hAnsiTheme="majorHAnsi" w:cstheme="majorHAnsi"/>
          <w:sz w:val="22"/>
          <w:szCs w:val="22"/>
        </w:rPr>
        <w:t>would like to see an acceleration of the planned ‘expert advisory service’ at UKIB and it is hoped it would be at no extra cost to borrowers.</w:t>
      </w:r>
      <w:r w:rsidR="009522FD" w:rsidRPr="000416E7">
        <w:rPr>
          <w:rFonts w:asciiTheme="majorHAnsi" w:hAnsiTheme="majorHAnsi" w:cstheme="majorHAnsi"/>
          <w:sz w:val="22"/>
          <w:szCs w:val="22"/>
        </w:rPr>
        <w:t xml:space="preserve"> If </w:t>
      </w:r>
      <w:r w:rsidR="0010283A" w:rsidRPr="000416E7">
        <w:rPr>
          <w:rFonts w:asciiTheme="majorHAnsi" w:hAnsiTheme="majorHAnsi" w:cstheme="majorHAnsi"/>
          <w:sz w:val="22"/>
          <w:szCs w:val="22"/>
        </w:rPr>
        <w:t xml:space="preserve">projects can </w:t>
      </w:r>
      <w:r w:rsidRPr="000416E7">
        <w:rPr>
          <w:rFonts w:asciiTheme="majorHAnsi" w:hAnsiTheme="majorHAnsi" w:cstheme="majorHAnsi"/>
          <w:sz w:val="22"/>
          <w:szCs w:val="22"/>
        </w:rPr>
        <w:t xml:space="preserve">be aggregated through </w:t>
      </w:r>
      <w:r w:rsidR="001E169F">
        <w:rPr>
          <w:rFonts w:asciiTheme="majorHAnsi" w:hAnsiTheme="majorHAnsi" w:cstheme="majorHAnsi"/>
          <w:sz w:val="22"/>
          <w:szCs w:val="22"/>
        </w:rPr>
        <w:t xml:space="preserve">UK </w:t>
      </w:r>
      <w:r w:rsidRPr="000416E7">
        <w:rPr>
          <w:rFonts w:asciiTheme="majorHAnsi" w:hAnsiTheme="majorHAnsi" w:cstheme="majorHAnsi"/>
          <w:sz w:val="22"/>
          <w:szCs w:val="22"/>
        </w:rPr>
        <w:t>CCIC</w:t>
      </w:r>
      <w:r w:rsidR="00830C4E">
        <w:rPr>
          <w:rFonts w:asciiTheme="majorHAnsi" w:hAnsiTheme="majorHAnsi" w:cstheme="majorHAnsi"/>
          <w:sz w:val="22"/>
          <w:szCs w:val="22"/>
        </w:rPr>
        <w:t>,</w:t>
      </w:r>
      <w:r w:rsidRPr="000416E7">
        <w:rPr>
          <w:rFonts w:asciiTheme="majorHAnsi" w:hAnsiTheme="majorHAnsi" w:cstheme="majorHAnsi"/>
          <w:sz w:val="22"/>
          <w:szCs w:val="22"/>
        </w:rPr>
        <w:t xml:space="preserve"> more support is required to develop concepts into investable business cases (</w:t>
      </w:r>
      <w:r w:rsidR="00C25AFF" w:rsidRPr="000416E7">
        <w:rPr>
          <w:rFonts w:asciiTheme="majorHAnsi" w:hAnsiTheme="majorHAnsi" w:cstheme="majorHAnsi"/>
          <w:sz w:val="22"/>
          <w:szCs w:val="22"/>
        </w:rPr>
        <w:t>e.g.</w:t>
      </w:r>
      <w:r w:rsidRPr="000416E7">
        <w:rPr>
          <w:rFonts w:asciiTheme="majorHAnsi" w:hAnsiTheme="majorHAnsi" w:cstheme="majorHAnsi"/>
          <w:sz w:val="22"/>
          <w:szCs w:val="22"/>
        </w:rPr>
        <w:t>: government financial advisory service or similar).</w:t>
      </w:r>
    </w:p>
    <w:p w14:paraId="79923893" w14:textId="40DD2B8A" w:rsidR="00C937C5" w:rsidRPr="000416E7" w:rsidRDefault="00C937C5" w:rsidP="00867FB2">
      <w:pPr>
        <w:rPr>
          <w:rFonts w:asciiTheme="majorHAnsi" w:hAnsiTheme="majorHAnsi" w:cstheme="majorHAnsi"/>
          <w:sz w:val="22"/>
          <w:szCs w:val="22"/>
        </w:rPr>
      </w:pPr>
      <w:r>
        <w:rPr>
          <w:rFonts w:asciiTheme="majorHAnsi" w:hAnsiTheme="majorHAnsi" w:cstheme="majorHAnsi"/>
          <w:sz w:val="22"/>
          <w:szCs w:val="22"/>
        </w:rPr>
        <w:t xml:space="preserve">The GLA has experience using blended financing funds through the London Energy Efficiency Fund and now the Mayor’s Energy Efficiency Fund (MEEF). These programmes showed how regional funds work best at attracting additional local funds and can respond to local decarbonisation needs and drivers. </w:t>
      </w:r>
    </w:p>
    <w:p w14:paraId="2193B2D8" w14:textId="5A0B8748" w:rsidR="00A03C57" w:rsidRPr="000416E7" w:rsidRDefault="00A03C57" w:rsidP="00A03C57">
      <w:pPr>
        <w:rPr>
          <w:rFonts w:asciiTheme="majorHAnsi" w:hAnsiTheme="majorHAnsi" w:cstheme="majorHAnsi"/>
          <w:sz w:val="22"/>
          <w:szCs w:val="22"/>
        </w:rPr>
      </w:pPr>
      <w:r w:rsidRPr="000416E7">
        <w:rPr>
          <w:rFonts w:asciiTheme="majorHAnsi" w:hAnsiTheme="majorHAnsi" w:cstheme="majorHAnsi"/>
          <w:sz w:val="22"/>
          <w:szCs w:val="22"/>
        </w:rPr>
        <w:t>Government should publish a live database of all investment opportunities plus review application windows that are often too demanding for local authorities to complete to a high standard/submit at all.</w:t>
      </w:r>
    </w:p>
    <w:p w14:paraId="6C39D614" w14:textId="1ED388DD"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Local authorities with social housing will have a higher degree of sophistication in accessing debt capital markets to fund their housing projects. </w:t>
      </w:r>
      <w:r w:rsidR="00D12CE7" w:rsidRPr="000416E7">
        <w:rPr>
          <w:rFonts w:asciiTheme="majorHAnsi" w:hAnsiTheme="majorHAnsi" w:cstheme="majorHAnsi"/>
          <w:sz w:val="22"/>
          <w:szCs w:val="22"/>
        </w:rPr>
        <w:t>F</w:t>
      </w:r>
      <w:r w:rsidRPr="000416E7">
        <w:rPr>
          <w:rFonts w:asciiTheme="majorHAnsi" w:hAnsiTheme="majorHAnsi" w:cstheme="majorHAnsi"/>
          <w:sz w:val="22"/>
          <w:szCs w:val="22"/>
        </w:rPr>
        <w:t xml:space="preserve">inancing green investment programmes </w:t>
      </w:r>
      <w:r w:rsidR="00BC613C" w:rsidRPr="000416E7">
        <w:rPr>
          <w:rFonts w:asciiTheme="majorHAnsi" w:hAnsiTheme="majorHAnsi" w:cstheme="majorHAnsi"/>
          <w:sz w:val="22"/>
          <w:szCs w:val="22"/>
        </w:rPr>
        <w:t xml:space="preserve">means funding </w:t>
      </w:r>
      <w:r w:rsidRPr="000416E7">
        <w:rPr>
          <w:rFonts w:asciiTheme="majorHAnsi" w:hAnsiTheme="majorHAnsi" w:cstheme="majorHAnsi"/>
          <w:sz w:val="22"/>
          <w:szCs w:val="22"/>
        </w:rPr>
        <w:t>a much wider range of assets</w:t>
      </w:r>
      <w:r w:rsidR="00BC613C" w:rsidRPr="000416E7">
        <w:rPr>
          <w:rFonts w:asciiTheme="majorHAnsi" w:hAnsiTheme="majorHAnsi" w:cstheme="majorHAnsi"/>
          <w:sz w:val="22"/>
          <w:szCs w:val="22"/>
        </w:rPr>
        <w:t xml:space="preserve"> some of which are owned by public bodies, some by business, some by residents or SMEs</w:t>
      </w:r>
      <w:r w:rsidRPr="000416E7">
        <w:rPr>
          <w:rFonts w:asciiTheme="majorHAnsi" w:hAnsiTheme="majorHAnsi" w:cstheme="majorHAnsi"/>
          <w:sz w:val="22"/>
          <w:szCs w:val="22"/>
        </w:rPr>
        <w:t>. Some assets, like waste infrastructure, might be designed, built and operated by private sector</w:t>
      </w:r>
      <w:r w:rsidR="00BC613C" w:rsidRPr="000416E7">
        <w:rPr>
          <w:rFonts w:asciiTheme="majorHAnsi" w:hAnsiTheme="majorHAnsi" w:cstheme="majorHAnsi"/>
          <w:sz w:val="22"/>
          <w:szCs w:val="22"/>
        </w:rPr>
        <w:t xml:space="preserve"> under public-private partnership arrangements </w:t>
      </w:r>
      <w:r w:rsidR="00D14B98">
        <w:rPr>
          <w:rFonts w:asciiTheme="majorHAnsi" w:hAnsiTheme="majorHAnsi" w:cstheme="majorHAnsi"/>
          <w:sz w:val="22"/>
          <w:szCs w:val="22"/>
        </w:rPr>
        <w:t xml:space="preserve">in </w:t>
      </w:r>
      <w:r w:rsidR="00BC613C" w:rsidRPr="000416E7">
        <w:rPr>
          <w:rFonts w:asciiTheme="majorHAnsi" w:hAnsiTheme="majorHAnsi" w:cstheme="majorHAnsi"/>
          <w:sz w:val="22"/>
          <w:szCs w:val="22"/>
        </w:rPr>
        <w:t xml:space="preserve">which local authorities ultimately </w:t>
      </w:r>
      <w:r w:rsidR="00DF412C" w:rsidRPr="000416E7">
        <w:rPr>
          <w:rFonts w:asciiTheme="majorHAnsi" w:hAnsiTheme="majorHAnsi" w:cstheme="majorHAnsi"/>
          <w:sz w:val="22"/>
          <w:szCs w:val="22"/>
        </w:rPr>
        <w:t>must</w:t>
      </w:r>
      <w:r w:rsidR="00BC613C" w:rsidRPr="000416E7">
        <w:rPr>
          <w:rFonts w:asciiTheme="majorHAnsi" w:hAnsiTheme="majorHAnsi" w:cstheme="majorHAnsi"/>
          <w:sz w:val="22"/>
          <w:szCs w:val="22"/>
        </w:rPr>
        <w:t xml:space="preserve"> service the debt even if p</w:t>
      </w:r>
      <w:r w:rsidRPr="000416E7">
        <w:rPr>
          <w:rFonts w:asciiTheme="majorHAnsi" w:hAnsiTheme="majorHAnsi" w:cstheme="majorHAnsi"/>
          <w:sz w:val="22"/>
          <w:szCs w:val="22"/>
        </w:rPr>
        <w:t xml:space="preserve">rivate sector </w:t>
      </w:r>
      <w:r w:rsidR="00BC613C" w:rsidRPr="000416E7">
        <w:rPr>
          <w:rFonts w:asciiTheme="majorHAnsi" w:hAnsiTheme="majorHAnsi" w:cstheme="majorHAnsi"/>
          <w:sz w:val="22"/>
          <w:szCs w:val="22"/>
        </w:rPr>
        <w:t xml:space="preserve">is </w:t>
      </w:r>
      <w:r w:rsidRPr="000416E7">
        <w:rPr>
          <w:rFonts w:asciiTheme="majorHAnsi" w:hAnsiTheme="majorHAnsi" w:cstheme="majorHAnsi"/>
          <w:sz w:val="22"/>
          <w:szCs w:val="22"/>
        </w:rPr>
        <w:t xml:space="preserve">responsible for sourcing finance. </w:t>
      </w:r>
    </w:p>
    <w:p w14:paraId="01D6B860" w14:textId="5580E110"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Councils have much less experience a</w:t>
      </w:r>
      <w:r w:rsidR="00D12CE7" w:rsidRPr="000416E7">
        <w:rPr>
          <w:rFonts w:asciiTheme="majorHAnsi" w:hAnsiTheme="majorHAnsi" w:cstheme="majorHAnsi"/>
          <w:sz w:val="22"/>
          <w:szCs w:val="22"/>
        </w:rPr>
        <w:t>t</w:t>
      </w:r>
      <w:r w:rsidRPr="000416E7">
        <w:rPr>
          <w:rFonts w:asciiTheme="majorHAnsi" w:hAnsiTheme="majorHAnsi" w:cstheme="majorHAnsi"/>
          <w:sz w:val="22"/>
          <w:szCs w:val="22"/>
        </w:rPr>
        <w:t xml:space="preserve"> raising finance for assets like heat networks, EV charging infrastructure, retrofitting council owned or privately-owned buildings. In general, many authorities lack depth in capability to attract private investment via instruments like green bonds or structured finance, or partner with large investors like pension funds, insurers, private equity or venture capital. Due to resourcing constraints, capability has not been able to develop sufficiently in this area and progress has been stalled accordingly. As the Green Finance Institute’s ‘Retrofit Funding propositions’</w:t>
      </w:r>
      <w:r w:rsidRPr="000416E7">
        <w:rPr>
          <w:rStyle w:val="FootnoteReference"/>
          <w:rFonts w:asciiTheme="majorHAnsi" w:hAnsiTheme="majorHAnsi" w:cstheme="majorHAnsi"/>
          <w:sz w:val="22"/>
          <w:szCs w:val="22"/>
        </w:rPr>
        <w:footnoteReference w:id="7"/>
      </w:r>
      <w:r w:rsidRPr="000416E7">
        <w:rPr>
          <w:rFonts w:asciiTheme="majorHAnsi" w:hAnsiTheme="majorHAnsi" w:cstheme="majorHAnsi"/>
          <w:sz w:val="22"/>
          <w:szCs w:val="22"/>
        </w:rPr>
        <w:t xml:space="preserve"> finds, there are important roles for local authorities to play if resource and capability challenges can be addressed. </w:t>
      </w:r>
    </w:p>
    <w:p w14:paraId="256BFF23" w14:textId="37F0B7AB" w:rsidR="00873614" w:rsidRPr="000416E7" w:rsidRDefault="00E61966" w:rsidP="00873614">
      <w:pPr>
        <w:rPr>
          <w:rFonts w:asciiTheme="majorHAnsi" w:hAnsiTheme="majorHAnsi" w:cstheme="majorHAnsi"/>
          <w:sz w:val="22"/>
          <w:szCs w:val="22"/>
        </w:rPr>
      </w:pPr>
      <w:r w:rsidRPr="000416E7">
        <w:rPr>
          <w:rFonts w:asciiTheme="majorHAnsi" w:hAnsiTheme="majorHAnsi" w:cstheme="majorHAnsi"/>
          <w:sz w:val="22"/>
          <w:szCs w:val="22"/>
        </w:rPr>
        <w:t xml:space="preserve">Local authorities have a </w:t>
      </w:r>
      <w:r w:rsidR="00873614" w:rsidRPr="000416E7">
        <w:rPr>
          <w:rFonts w:asciiTheme="majorHAnsi" w:hAnsiTheme="majorHAnsi" w:cstheme="majorHAnsi"/>
          <w:sz w:val="22"/>
          <w:szCs w:val="22"/>
        </w:rPr>
        <w:t>skills gap and capacity constraint</w:t>
      </w:r>
      <w:r w:rsidRPr="000416E7">
        <w:rPr>
          <w:rFonts w:asciiTheme="majorHAnsi" w:hAnsiTheme="majorHAnsi" w:cstheme="majorHAnsi"/>
          <w:sz w:val="22"/>
          <w:szCs w:val="22"/>
        </w:rPr>
        <w:t>s</w:t>
      </w:r>
      <w:r w:rsidR="00873614" w:rsidRPr="000416E7">
        <w:rPr>
          <w:rFonts w:asciiTheme="majorHAnsi" w:hAnsiTheme="majorHAnsi" w:cstheme="majorHAnsi"/>
          <w:sz w:val="22"/>
          <w:szCs w:val="22"/>
        </w:rPr>
        <w:t xml:space="preserve"> to create project pipeline</w:t>
      </w:r>
      <w:r w:rsidRPr="000416E7">
        <w:rPr>
          <w:rFonts w:asciiTheme="majorHAnsi" w:hAnsiTheme="majorHAnsi" w:cstheme="majorHAnsi"/>
          <w:sz w:val="22"/>
          <w:szCs w:val="22"/>
        </w:rPr>
        <w:t>s</w:t>
      </w:r>
      <w:r w:rsidR="00873614" w:rsidRPr="000416E7">
        <w:rPr>
          <w:rFonts w:asciiTheme="majorHAnsi" w:hAnsiTheme="majorHAnsi" w:cstheme="majorHAnsi"/>
          <w:sz w:val="22"/>
          <w:szCs w:val="22"/>
        </w:rPr>
        <w:t xml:space="preserve"> and write the business cases to bring projects to market. </w:t>
      </w:r>
      <w:r w:rsidR="00C11FF4" w:rsidRPr="000416E7">
        <w:rPr>
          <w:rFonts w:asciiTheme="majorHAnsi" w:hAnsiTheme="majorHAnsi" w:cstheme="majorHAnsi"/>
          <w:sz w:val="22"/>
          <w:szCs w:val="22"/>
        </w:rPr>
        <w:t xml:space="preserve">This could be addressed by </w:t>
      </w:r>
      <w:r w:rsidR="002814B8" w:rsidRPr="000416E7">
        <w:rPr>
          <w:rFonts w:asciiTheme="majorHAnsi" w:hAnsiTheme="majorHAnsi" w:cstheme="majorHAnsi"/>
          <w:sz w:val="22"/>
          <w:szCs w:val="22"/>
        </w:rPr>
        <w:t xml:space="preserve">supplying development </w:t>
      </w:r>
      <w:r w:rsidR="002D1022" w:rsidRPr="000416E7">
        <w:rPr>
          <w:rFonts w:asciiTheme="majorHAnsi" w:hAnsiTheme="majorHAnsi" w:cstheme="majorHAnsi"/>
          <w:sz w:val="22"/>
          <w:szCs w:val="22"/>
        </w:rPr>
        <w:t>funding and</w:t>
      </w:r>
      <w:r w:rsidR="002814B8" w:rsidRPr="000416E7">
        <w:rPr>
          <w:rFonts w:asciiTheme="majorHAnsi" w:hAnsiTheme="majorHAnsi" w:cstheme="majorHAnsi"/>
          <w:sz w:val="22"/>
          <w:szCs w:val="22"/>
        </w:rPr>
        <w:t xml:space="preserve"> supporting a capacity and co-ordination and regional role for London Councils</w:t>
      </w:r>
      <w:r w:rsidR="00830C4E">
        <w:rPr>
          <w:rFonts w:asciiTheme="majorHAnsi" w:hAnsiTheme="majorHAnsi" w:cstheme="majorHAnsi"/>
          <w:sz w:val="22"/>
          <w:szCs w:val="22"/>
        </w:rPr>
        <w:t xml:space="preserve"> and GLA in London</w:t>
      </w:r>
      <w:r w:rsidR="002814B8" w:rsidRPr="000416E7">
        <w:rPr>
          <w:rFonts w:asciiTheme="majorHAnsi" w:hAnsiTheme="majorHAnsi" w:cstheme="majorHAnsi"/>
          <w:sz w:val="22"/>
          <w:szCs w:val="22"/>
        </w:rPr>
        <w:t>.</w:t>
      </w:r>
    </w:p>
    <w:p w14:paraId="3B27A767" w14:textId="245F3A58"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The UK CCIC is </w:t>
      </w:r>
      <w:r w:rsidR="00E61966" w:rsidRPr="000416E7">
        <w:rPr>
          <w:rFonts w:asciiTheme="majorHAnsi" w:hAnsiTheme="majorHAnsi" w:cstheme="majorHAnsi"/>
          <w:sz w:val="22"/>
          <w:szCs w:val="22"/>
        </w:rPr>
        <w:t xml:space="preserve">researching the extent of </w:t>
      </w:r>
      <w:r w:rsidRPr="000416E7">
        <w:rPr>
          <w:rFonts w:asciiTheme="majorHAnsi" w:hAnsiTheme="majorHAnsi" w:cstheme="majorHAnsi"/>
          <w:sz w:val="22"/>
          <w:szCs w:val="22"/>
        </w:rPr>
        <w:t xml:space="preserve">skills gaps and how </w:t>
      </w:r>
      <w:r w:rsidR="00E61966" w:rsidRPr="000416E7">
        <w:rPr>
          <w:rFonts w:asciiTheme="majorHAnsi" w:hAnsiTheme="majorHAnsi" w:cstheme="majorHAnsi"/>
          <w:sz w:val="22"/>
          <w:szCs w:val="22"/>
        </w:rPr>
        <w:t xml:space="preserve">they </w:t>
      </w:r>
      <w:r w:rsidRPr="000416E7">
        <w:rPr>
          <w:rFonts w:asciiTheme="majorHAnsi" w:hAnsiTheme="majorHAnsi" w:cstheme="majorHAnsi"/>
          <w:sz w:val="22"/>
          <w:szCs w:val="22"/>
        </w:rPr>
        <w:t xml:space="preserve">might </w:t>
      </w:r>
      <w:r w:rsidR="00E61966" w:rsidRPr="000416E7">
        <w:rPr>
          <w:rFonts w:asciiTheme="majorHAnsi" w:hAnsiTheme="majorHAnsi" w:cstheme="majorHAnsi"/>
          <w:sz w:val="22"/>
          <w:szCs w:val="22"/>
        </w:rPr>
        <w:t xml:space="preserve">be </w:t>
      </w:r>
      <w:r w:rsidRPr="000416E7">
        <w:rPr>
          <w:rFonts w:asciiTheme="majorHAnsi" w:hAnsiTheme="majorHAnsi" w:cstheme="majorHAnsi"/>
          <w:sz w:val="22"/>
          <w:szCs w:val="22"/>
        </w:rPr>
        <w:t>remed</w:t>
      </w:r>
      <w:r w:rsidR="00E61966" w:rsidRPr="000416E7">
        <w:rPr>
          <w:rFonts w:asciiTheme="majorHAnsi" w:hAnsiTheme="majorHAnsi" w:cstheme="majorHAnsi"/>
          <w:sz w:val="22"/>
          <w:szCs w:val="22"/>
        </w:rPr>
        <w:t>ied</w:t>
      </w:r>
      <w:r w:rsidRPr="000416E7">
        <w:rPr>
          <w:rFonts w:asciiTheme="majorHAnsi" w:hAnsiTheme="majorHAnsi" w:cstheme="majorHAnsi"/>
          <w:sz w:val="22"/>
          <w:szCs w:val="22"/>
        </w:rPr>
        <w:t xml:space="preserve">. But realistically it is not possible for every local council to develop </w:t>
      </w:r>
      <w:r w:rsidR="00E61966" w:rsidRPr="000416E7">
        <w:rPr>
          <w:rFonts w:asciiTheme="majorHAnsi" w:hAnsiTheme="majorHAnsi" w:cstheme="majorHAnsi"/>
          <w:sz w:val="22"/>
          <w:szCs w:val="22"/>
        </w:rPr>
        <w:t xml:space="preserve">such expertise </w:t>
      </w:r>
      <w:r w:rsidRPr="000416E7">
        <w:rPr>
          <w:rFonts w:asciiTheme="majorHAnsi" w:hAnsiTheme="majorHAnsi" w:cstheme="majorHAnsi"/>
          <w:sz w:val="22"/>
          <w:szCs w:val="22"/>
        </w:rPr>
        <w:t xml:space="preserve">and so it is important that centres of excellence are developed to advise local government. For instance, the UK Infrastructure Bank and the Green Finance Institute might have the right sorts of skills but would need to scale up </w:t>
      </w:r>
      <w:r w:rsidR="00E61966" w:rsidRPr="000416E7">
        <w:rPr>
          <w:rFonts w:asciiTheme="majorHAnsi" w:hAnsiTheme="majorHAnsi" w:cstheme="majorHAnsi"/>
          <w:sz w:val="22"/>
          <w:szCs w:val="22"/>
        </w:rPr>
        <w:t xml:space="preserve">if they are to advise all </w:t>
      </w:r>
      <w:r w:rsidRPr="000416E7">
        <w:rPr>
          <w:rFonts w:asciiTheme="majorHAnsi" w:hAnsiTheme="majorHAnsi" w:cstheme="majorHAnsi"/>
          <w:sz w:val="22"/>
          <w:szCs w:val="22"/>
        </w:rPr>
        <w:t xml:space="preserve">local authorities. </w:t>
      </w:r>
    </w:p>
    <w:p w14:paraId="7B4DE20C" w14:textId="754B0033"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lastRenderedPageBreak/>
        <w:t xml:space="preserve">Whilst there is a need to develop skills and capability to attract green finance, this is no substitute for developing smarter policies. The reason for the success of renewable energy over the last 20 years has been a succession of policies that incentivise investment. Other assets like buildings need similar inducements to attract private capital. </w:t>
      </w:r>
    </w:p>
    <w:p w14:paraId="75E5D912" w14:textId="77777777" w:rsidR="00873614" w:rsidRPr="000416E7" w:rsidRDefault="00873614" w:rsidP="00873614">
      <w:pPr>
        <w:rPr>
          <w:rFonts w:asciiTheme="majorHAnsi" w:hAnsiTheme="majorHAnsi" w:cstheme="majorHAnsi"/>
          <w:b/>
          <w:bCs/>
          <w:sz w:val="22"/>
          <w:szCs w:val="22"/>
        </w:rPr>
      </w:pPr>
    </w:p>
    <w:p w14:paraId="0DC58B57" w14:textId="77777777" w:rsidR="00873614" w:rsidRPr="000416E7" w:rsidRDefault="00873614" w:rsidP="00873614">
      <w:pPr>
        <w:rPr>
          <w:rFonts w:asciiTheme="majorHAnsi" w:hAnsiTheme="majorHAnsi" w:cstheme="majorHAnsi"/>
          <w:b/>
          <w:bCs/>
          <w:sz w:val="22"/>
          <w:szCs w:val="22"/>
        </w:rPr>
      </w:pPr>
      <w:r w:rsidRPr="000416E7">
        <w:rPr>
          <w:rFonts w:asciiTheme="majorHAnsi" w:hAnsiTheme="majorHAnsi" w:cstheme="majorHAnsi"/>
          <w:b/>
          <w:bCs/>
          <w:sz w:val="22"/>
          <w:szCs w:val="22"/>
        </w:rPr>
        <w:t>20. How can the UK financial sector support SMEs and retail customers to align with the UK’s climate and environmental objectives?</w:t>
      </w:r>
    </w:p>
    <w:p w14:paraId="40700479" w14:textId="463BAF51"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This question is more for the financial sector, but local authorities can play an important role as procurer and aggregator. Some local authorities have established local electricity supply companies to procure green electricity on behalf of residents and local businesses (green tariffs or green power purchase agreements). The UK financial sector could in principle support this </w:t>
      </w:r>
      <w:r w:rsidR="00D14B98">
        <w:rPr>
          <w:rFonts w:asciiTheme="majorHAnsi" w:hAnsiTheme="majorHAnsi" w:cstheme="majorHAnsi"/>
          <w:sz w:val="22"/>
          <w:szCs w:val="22"/>
        </w:rPr>
        <w:t xml:space="preserve">by </w:t>
      </w:r>
      <w:r w:rsidRPr="000416E7">
        <w:rPr>
          <w:rFonts w:asciiTheme="majorHAnsi" w:hAnsiTheme="majorHAnsi" w:cstheme="majorHAnsi"/>
          <w:sz w:val="22"/>
          <w:szCs w:val="22"/>
        </w:rPr>
        <w:t>encouraging their own customers to use these mechanisms.</w:t>
      </w:r>
    </w:p>
    <w:p w14:paraId="24685E91" w14:textId="775DB5F3"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The UK financial sector can also play an important role in financing the decarbonisation of homes and businesses. Products like green mortgages, green savings products and green pensions are useful tools for small businesses and retail customers to borrow and save for green use of purposes.</w:t>
      </w:r>
    </w:p>
    <w:p w14:paraId="611A319F" w14:textId="77777777" w:rsidR="00136681" w:rsidRPr="000416E7" w:rsidRDefault="00136681" w:rsidP="00873614">
      <w:pPr>
        <w:rPr>
          <w:rFonts w:asciiTheme="majorHAnsi" w:hAnsiTheme="majorHAnsi" w:cstheme="majorHAnsi"/>
          <w:sz w:val="22"/>
          <w:szCs w:val="22"/>
        </w:rPr>
      </w:pPr>
    </w:p>
    <w:p w14:paraId="53009486" w14:textId="77777777" w:rsidR="00873614" w:rsidRPr="000416E7" w:rsidRDefault="00873614" w:rsidP="00873614">
      <w:pPr>
        <w:rPr>
          <w:rFonts w:asciiTheme="majorHAnsi" w:hAnsiTheme="majorHAnsi" w:cstheme="majorHAnsi"/>
          <w:b/>
          <w:bCs/>
          <w:sz w:val="22"/>
          <w:szCs w:val="22"/>
        </w:rPr>
      </w:pPr>
      <w:r w:rsidRPr="000416E7">
        <w:rPr>
          <w:rFonts w:asciiTheme="majorHAnsi" w:hAnsiTheme="majorHAnsi" w:cstheme="majorHAnsi"/>
          <w:b/>
          <w:bCs/>
          <w:sz w:val="22"/>
          <w:szCs w:val="22"/>
        </w:rPr>
        <w:t>21. Is there a role for the UK government to facilitate broad access to green finance for local authorities, SMEs or retail customers? If so, what should these roles be?</w:t>
      </w:r>
    </w:p>
    <w:p w14:paraId="176054C3" w14:textId="6869A588" w:rsidR="00CB09D1" w:rsidRPr="000416E7" w:rsidRDefault="00873614" w:rsidP="00CB09D1">
      <w:pPr>
        <w:rPr>
          <w:rFonts w:asciiTheme="majorHAnsi" w:hAnsiTheme="majorHAnsi" w:cstheme="majorHAnsi"/>
          <w:sz w:val="22"/>
          <w:szCs w:val="22"/>
        </w:rPr>
      </w:pPr>
      <w:r w:rsidRPr="000416E7">
        <w:rPr>
          <w:rFonts w:asciiTheme="majorHAnsi" w:hAnsiTheme="majorHAnsi" w:cstheme="majorHAnsi"/>
          <w:sz w:val="22"/>
          <w:szCs w:val="22"/>
        </w:rPr>
        <w:t xml:space="preserve">Regulatory and taxation policy needs to be developed by national government to ensure the financial viability of the net zero investment programmes. </w:t>
      </w:r>
      <w:r w:rsidR="00CB09D1" w:rsidRPr="000416E7">
        <w:rPr>
          <w:rFonts w:asciiTheme="majorHAnsi" w:hAnsiTheme="majorHAnsi" w:cstheme="majorHAnsi"/>
          <w:sz w:val="22"/>
          <w:szCs w:val="22"/>
        </w:rPr>
        <w:t>The private sector needs to have confidence in government policy (</w:t>
      </w:r>
      <w:r w:rsidR="00C25AFF" w:rsidRPr="000416E7">
        <w:rPr>
          <w:rFonts w:asciiTheme="majorHAnsi" w:hAnsiTheme="majorHAnsi" w:cstheme="majorHAnsi"/>
          <w:sz w:val="22"/>
          <w:szCs w:val="22"/>
        </w:rPr>
        <w:t>e.g.</w:t>
      </w:r>
      <w:r w:rsidR="00CB09D1" w:rsidRPr="000416E7">
        <w:rPr>
          <w:rFonts w:asciiTheme="majorHAnsi" w:hAnsiTheme="majorHAnsi" w:cstheme="majorHAnsi"/>
          <w:sz w:val="22"/>
          <w:szCs w:val="22"/>
        </w:rPr>
        <w:t>: new technologies, upskilling workforce) and needs to be convinced that development finance/first loss capital has long-term benefit.</w:t>
      </w:r>
    </w:p>
    <w:p w14:paraId="2BAEEDB0" w14:textId="6C498EE6" w:rsidR="00077484" w:rsidRPr="000416E7" w:rsidRDefault="00077484" w:rsidP="00077484">
      <w:pPr>
        <w:rPr>
          <w:rFonts w:asciiTheme="majorHAnsi" w:hAnsiTheme="majorHAnsi" w:cstheme="majorHAnsi"/>
          <w:sz w:val="22"/>
          <w:szCs w:val="22"/>
        </w:rPr>
      </w:pPr>
      <w:r w:rsidRPr="000416E7">
        <w:rPr>
          <w:rFonts w:asciiTheme="majorHAnsi" w:hAnsiTheme="majorHAnsi" w:cstheme="majorHAnsi"/>
          <w:sz w:val="22"/>
          <w:szCs w:val="22"/>
        </w:rPr>
        <w:t xml:space="preserve">The introduction of </w:t>
      </w:r>
      <w:r w:rsidR="002F5137">
        <w:rPr>
          <w:rFonts w:asciiTheme="majorHAnsi" w:hAnsiTheme="majorHAnsi" w:cstheme="majorHAnsi"/>
          <w:sz w:val="22"/>
          <w:szCs w:val="22"/>
        </w:rPr>
        <w:t xml:space="preserve">the </w:t>
      </w:r>
      <w:r w:rsidRPr="000416E7">
        <w:rPr>
          <w:rFonts w:asciiTheme="majorHAnsi" w:hAnsiTheme="majorHAnsi" w:cstheme="majorHAnsi"/>
          <w:sz w:val="22"/>
          <w:szCs w:val="22"/>
        </w:rPr>
        <w:t>UK Infrastructure Bank is welcome (and is competitive vs PWLB) however the MBA appears limited as a solution (£250m+) and perhaps should be re-evaluated.</w:t>
      </w:r>
    </w:p>
    <w:p w14:paraId="62EBAAC5" w14:textId="7E0146E3" w:rsidR="00077484" w:rsidRPr="000416E7" w:rsidRDefault="00077484" w:rsidP="00CB09D1">
      <w:pPr>
        <w:rPr>
          <w:rFonts w:asciiTheme="majorHAnsi" w:hAnsiTheme="majorHAnsi" w:cstheme="majorHAnsi"/>
          <w:sz w:val="22"/>
          <w:szCs w:val="22"/>
        </w:rPr>
      </w:pPr>
      <w:r w:rsidRPr="000416E7">
        <w:rPr>
          <w:rFonts w:asciiTheme="majorHAnsi" w:hAnsiTheme="majorHAnsi" w:cstheme="majorHAnsi"/>
          <w:sz w:val="22"/>
          <w:szCs w:val="22"/>
        </w:rPr>
        <w:t>Government should develop and promote more standardised business cases and as above provide more upfront finance to help de-risk investment.</w:t>
      </w:r>
    </w:p>
    <w:p w14:paraId="584ECD31" w14:textId="65A07C4D"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The national policy framework does not adequately reward the social and environmental benefits arising from less pollution, more circular material flows, better biodiversity and lower carbon emissions </w:t>
      </w:r>
      <w:r w:rsidR="00E61966" w:rsidRPr="000416E7">
        <w:rPr>
          <w:rFonts w:asciiTheme="majorHAnsi" w:hAnsiTheme="majorHAnsi" w:cstheme="majorHAnsi"/>
          <w:sz w:val="22"/>
          <w:szCs w:val="22"/>
        </w:rPr>
        <w:t xml:space="preserve">from </w:t>
      </w:r>
      <w:r w:rsidRPr="000416E7">
        <w:rPr>
          <w:rFonts w:asciiTheme="majorHAnsi" w:hAnsiTheme="majorHAnsi" w:cstheme="majorHAnsi"/>
          <w:sz w:val="22"/>
          <w:szCs w:val="22"/>
        </w:rPr>
        <w:t xml:space="preserve">green investment programmes. The reduction of these externalities </w:t>
      </w:r>
      <w:r w:rsidR="00E54593" w:rsidRPr="000416E7">
        <w:rPr>
          <w:rFonts w:asciiTheme="majorHAnsi" w:hAnsiTheme="majorHAnsi" w:cstheme="majorHAnsi"/>
          <w:sz w:val="22"/>
          <w:szCs w:val="22"/>
        </w:rPr>
        <w:t>does</w:t>
      </w:r>
      <w:r w:rsidRPr="000416E7">
        <w:rPr>
          <w:rFonts w:asciiTheme="majorHAnsi" w:hAnsiTheme="majorHAnsi" w:cstheme="majorHAnsi"/>
          <w:sz w:val="22"/>
          <w:szCs w:val="22"/>
        </w:rPr>
        <w:t xml:space="preserve"> not appear as ‘revenue items’ in the investment decision. Environmental tax reform, payments for environmental services could remedy this.</w:t>
      </w:r>
    </w:p>
    <w:p w14:paraId="6222BBF2" w14:textId="6F8924D9"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Investment can also be encouraged by substantially increasing the quantum of money and reducing the interest rate that banks (including the UK </w:t>
      </w:r>
      <w:r w:rsidR="00E61966" w:rsidRPr="000416E7">
        <w:rPr>
          <w:rFonts w:asciiTheme="majorHAnsi" w:hAnsiTheme="majorHAnsi" w:cstheme="majorHAnsi"/>
          <w:sz w:val="22"/>
          <w:szCs w:val="22"/>
        </w:rPr>
        <w:t xml:space="preserve">Infrastructure </w:t>
      </w:r>
      <w:r w:rsidRPr="000416E7">
        <w:rPr>
          <w:rFonts w:asciiTheme="majorHAnsi" w:hAnsiTheme="majorHAnsi" w:cstheme="majorHAnsi"/>
          <w:sz w:val="22"/>
          <w:szCs w:val="22"/>
        </w:rPr>
        <w:t>Bank) have available to deploy in low carbon projects.</w:t>
      </w:r>
      <w:r w:rsidR="00B67176" w:rsidRPr="000416E7">
        <w:rPr>
          <w:rFonts w:asciiTheme="majorHAnsi" w:hAnsiTheme="majorHAnsi" w:cstheme="majorHAnsi"/>
          <w:sz w:val="22"/>
          <w:szCs w:val="22"/>
        </w:rPr>
        <w:t xml:space="preserve"> </w:t>
      </w:r>
      <w:r w:rsidR="00377E42" w:rsidRPr="000416E7">
        <w:rPr>
          <w:rFonts w:asciiTheme="majorHAnsi" w:hAnsiTheme="majorHAnsi" w:cstheme="majorHAnsi"/>
          <w:sz w:val="22"/>
          <w:szCs w:val="22"/>
        </w:rPr>
        <w:t xml:space="preserve">Central government could support </w:t>
      </w:r>
      <w:r w:rsidR="004744E0" w:rsidRPr="000416E7">
        <w:rPr>
          <w:rFonts w:asciiTheme="majorHAnsi" w:hAnsiTheme="majorHAnsi" w:cstheme="majorHAnsi"/>
          <w:sz w:val="22"/>
          <w:szCs w:val="22"/>
        </w:rPr>
        <w:t xml:space="preserve">London </w:t>
      </w:r>
      <w:r w:rsidR="002F5137">
        <w:rPr>
          <w:rFonts w:asciiTheme="majorHAnsi" w:hAnsiTheme="majorHAnsi" w:cstheme="majorHAnsi"/>
          <w:sz w:val="22"/>
          <w:szCs w:val="22"/>
        </w:rPr>
        <w:t xml:space="preserve">to </w:t>
      </w:r>
      <w:r w:rsidR="00BD0BC3" w:rsidRPr="000416E7">
        <w:rPr>
          <w:rFonts w:asciiTheme="majorHAnsi" w:hAnsiTheme="majorHAnsi" w:cstheme="majorHAnsi"/>
          <w:sz w:val="22"/>
          <w:szCs w:val="22"/>
        </w:rPr>
        <w:t xml:space="preserve">develop the project pipeline </w:t>
      </w:r>
      <w:r w:rsidR="00E173F2" w:rsidRPr="000416E7">
        <w:rPr>
          <w:rFonts w:asciiTheme="majorHAnsi" w:hAnsiTheme="majorHAnsi" w:cstheme="majorHAnsi"/>
          <w:sz w:val="22"/>
          <w:szCs w:val="22"/>
        </w:rPr>
        <w:t xml:space="preserve">by funding a </w:t>
      </w:r>
      <w:r w:rsidR="00807AEF" w:rsidRPr="000416E7">
        <w:rPr>
          <w:rFonts w:asciiTheme="majorHAnsi" w:hAnsiTheme="majorHAnsi" w:cstheme="majorHAnsi"/>
          <w:sz w:val="22"/>
          <w:szCs w:val="22"/>
        </w:rPr>
        <w:t xml:space="preserve">regional hub with development funding </w:t>
      </w:r>
      <w:r w:rsidR="004744E0" w:rsidRPr="000416E7">
        <w:rPr>
          <w:rFonts w:asciiTheme="majorHAnsi" w:hAnsiTheme="majorHAnsi" w:cstheme="majorHAnsi"/>
          <w:sz w:val="22"/>
          <w:szCs w:val="22"/>
        </w:rPr>
        <w:t xml:space="preserve">that </w:t>
      </w:r>
      <w:r w:rsidR="00807AEF" w:rsidRPr="000416E7">
        <w:rPr>
          <w:rFonts w:asciiTheme="majorHAnsi" w:hAnsiTheme="majorHAnsi" w:cstheme="majorHAnsi"/>
          <w:sz w:val="22"/>
          <w:szCs w:val="22"/>
        </w:rPr>
        <w:t>support</w:t>
      </w:r>
      <w:r w:rsidR="004744E0" w:rsidRPr="000416E7">
        <w:rPr>
          <w:rFonts w:asciiTheme="majorHAnsi" w:hAnsiTheme="majorHAnsi" w:cstheme="majorHAnsi"/>
          <w:sz w:val="22"/>
          <w:szCs w:val="22"/>
        </w:rPr>
        <w:t>s</w:t>
      </w:r>
      <w:r w:rsidR="00807AEF" w:rsidRPr="000416E7">
        <w:rPr>
          <w:rFonts w:asciiTheme="majorHAnsi" w:hAnsiTheme="majorHAnsi" w:cstheme="majorHAnsi"/>
          <w:sz w:val="22"/>
          <w:szCs w:val="22"/>
        </w:rPr>
        <w:t xml:space="preserve"> LAs in the development of their NET Zero projects.</w:t>
      </w:r>
    </w:p>
    <w:p w14:paraId="69912960" w14:textId="4ACDFAC7"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One approach worth considering is a green refinancing window where the Bank of England supports lending to green projects by offering cheap finance. The Bank of Japan (BoJ) has developed such </w:t>
      </w:r>
      <w:r w:rsidRPr="000416E7">
        <w:rPr>
          <w:rFonts w:asciiTheme="majorHAnsi" w:hAnsiTheme="majorHAnsi" w:cstheme="majorHAnsi"/>
          <w:sz w:val="22"/>
          <w:szCs w:val="22"/>
        </w:rPr>
        <w:lastRenderedPageBreak/>
        <w:t>facilities</w:t>
      </w:r>
      <w:r w:rsidR="00E61966" w:rsidRPr="000416E7">
        <w:rPr>
          <w:rFonts w:asciiTheme="majorHAnsi" w:hAnsiTheme="majorHAnsi" w:cstheme="majorHAnsi"/>
          <w:sz w:val="22"/>
          <w:szCs w:val="22"/>
        </w:rPr>
        <w:t xml:space="preserve"> and </w:t>
      </w:r>
      <w:r w:rsidRPr="000416E7">
        <w:rPr>
          <w:rFonts w:asciiTheme="majorHAnsi" w:hAnsiTheme="majorHAnsi" w:cstheme="majorHAnsi"/>
          <w:sz w:val="22"/>
          <w:szCs w:val="22"/>
        </w:rPr>
        <w:t>refinanc</w:t>
      </w:r>
      <w:r w:rsidR="00E61966" w:rsidRPr="000416E7">
        <w:rPr>
          <w:rFonts w:asciiTheme="majorHAnsi" w:hAnsiTheme="majorHAnsi" w:cstheme="majorHAnsi"/>
          <w:sz w:val="22"/>
          <w:szCs w:val="22"/>
        </w:rPr>
        <w:t>es</w:t>
      </w:r>
      <w:r w:rsidRPr="000416E7">
        <w:rPr>
          <w:rFonts w:asciiTheme="majorHAnsi" w:hAnsiTheme="majorHAnsi" w:cstheme="majorHAnsi"/>
          <w:sz w:val="22"/>
          <w:szCs w:val="22"/>
        </w:rPr>
        <w:t xml:space="preserve"> </w:t>
      </w:r>
      <w:r w:rsidR="00E61966" w:rsidRPr="000416E7">
        <w:rPr>
          <w:rFonts w:asciiTheme="majorHAnsi" w:hAnsiTheme="majorHAnsi" w:cstheme="majorHAnsi"/>
          <w:sz w:val="22"/>
          <w:szCs w:val="22"/>
        </w:rPr>
        <w:t xml:space="preserve">commercial loans to </w:t>
      </w:r>
      <w:r w:rsidRPr="000416E7">
        <w:rPr>
          <w:rFonts w:asciiTheme="majorHAnsi" w:hAnsiTheme="majorHAnsi" w:cstheme="majorHAnsi"/>
          <w:sz w:val="22"/>
          <w:szCs w:val="22"/>
        </w:rPr>
        <w:t>green lending at 0% for up to ten years</w:t>
      </w:r>
      <w:r w:rsidRPr="000416E7">
        <w:rPr>
          <w:rStyle w:val="FootnoteReference"/>
          <w:rFonts w:asciiTheme="majorHAnsi" w:hAnsiTheme="majorHAnsi" w:cstheme="majorHAnsi"/>
          <w:sz w:val="22"/>
          <w:szCs w:val="22"/>
        </w:rPr>
        <w:footnoteReference w:id="8"/>
      </w:r>
      <w:r w:rsidRPr="000416E7">
        <w:rPr>
          <w:rFonts w:asciiTheme="majorHAnsi" w:hAnsiTheme="majorHAnsi" w:cstheme="majorHAnsi"/>
          <w:sz w:val="22"/>
          <w:szCs w:val="22"/>
        </w:rPr>
        <w:t xml:space="preserve">. The low-cost funds supplied by the BoJ are lent by retail and investment banks for qualifying low carbon investments. In the UK, this could be </w:t>
      </w:r>
      <w:r w:rsidR="002F5137">
        <w:rPr>
          <w:rFonts w:asciiTheme="majorHAnsi" w:hAnsiTheme="majorHAnsi" w:cstheme="majorHAnsi"/>
          <w:sz w:val="22"/>
          <w:szCs w:val="22"/>
        </w:rPr>
        <w:t xml:space="preserve">a </w:t>
      </w:r>
      <w:r w:rsidRPr="000416E7">
        <w:rPr>
          <w:rFonts w:asciiTheme="majorHAnsi" w:hAnsiTheme="majorHAnsi" w:cstheme="majorHAnsi"/>
          <w:sz w:val="22"/>
          <w:szCs w:val="22"/>
        </w:rPr>
        <w:t xml:space="preserve">particularly valuable tool </w:t>
      </w:r>
      <w:r w:rsidR="00E61966" w:rsidRPr="000416E7">
        <w:rPr>
          <w:rFonts w:asciiTheme="majorHAnsi" w:hAnsiTheme="majorHAnsi" w:cstheme="majorHAnsi"/>
          <w:sz w:val="22"/>
          <w:szCs w:val="22"/>
        </w:rPr>
        <w:t xml:space="preserve">in view of likely increases in </w:t>
      </w:r>
      <w:r w:rsidRPr="000416E7">
        <w:rPr>
          <w:rFonts w:asciiTheme="majorHAnsi" w:hAnsiTheme="majorHAnsi" w:cstheme="majorHAnsi"/>
          <w:sz w:val="22"/>
          <w:szCs w:val="22"/>
        </w:rPr>
        <w:t>the interest rate as monetary policy tightens.</w:t>
      </w:r>
      <w:r w:rsidR="00DF412C" w:rsidRPr="000416E7">
        <w:rPr>
          <w:rFonts w:asciiTheme="majorHAnsi" w:hAnsiTheme="majorHAnsi" w:cstheme="majorHAnsi"/>
          <w:sz w:val="22"/>
          <w:szCs w:val="22"/>
        </w:rPr>
        <w:t xml:space="preserve"> The definition of qualifying assets might be linked to the UK green taxonomy </w:t>
      </w:r>
      <w:r w:rsidR="00894B8C" w:rsidRPr="000416E7">
        <w:rPr>
          <w:rFonts w:asciiTheme="majorHAnsi" w:hAnsiTheme="majorHAnsi" w:cstheme="majorHAnsi"/>
          <w:sz w:val="22"/>
          <w:szCs w:val="22"/>
        </w:rPr>
        <w:t xml:space="preserve">of sustainable finance </w:t>
      </w:r>
      <w:r w:rsidR="00DF412C" w:rsidRPr="000416E7">
        <w:rPr>
          <w:rFonts w:asciiTheme="majorHAnsi" w:hAnsiTheme="majorHAnsi" w:cstheme="majorHAnsi"/>
          <w:sz w:val="22"/>
          <w:szCs w:val="22"/>
        </w:rPr>
        <w:t xml:space="preserve">which government aims to </w:t>
      </w:r>
      <w:r w:rsidR="00894B8C" w:rsidRPr="000416E7">
        <w:rPr>
          <w:rFonts w:asciiTheme="majorHAnsi" w:hAnsiTheme="majorHAnsi" w:cstheme="majorHAnsi"/>
          <w:sz w:val="22"/>
          <w:szCs w:val="22"/>
        </w:rPr>
        <w:t>publish in due course.</w:t>
      </w:r>
    </w:p>
    <w:p w14:paraId="00ED2863" w14:textId="5FE37083"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In Europe, the German development bank KfW has long offered discounted interest rate loans for retrofit programmes where the reduction i</w:t>
      </w:r>
      <w:r w:rsidR="002F5137">
        <w:rPr>
          <w:rFonts w:asciiTheme="majorHAnsi" w:hAnsiTheme="majorHAnsi" w:cstheme="majorHAnsi"/>
          <w:sz w:val="22"/>
          <w:szCs w:val="22"/>
        </w:rPr>
        <w:t>n</w:t>
      </w:r>
      <w:r w:rsidRPr="000416E7">
        <w:rPr>
          <w:rFonts w:asciiTheme="majorHAnsi" w:hAnsiTheme="majorHAnsi" w:cstheme="majorHAnsi"/>
          <w:sz w:val="22"/>
          <w:szCs w:val="22"/>
        </w:rPr>
        <w:t xml:space="preserve"> interest rate is tiered according to the ambition of the retrofit.</w:t>
      </w:r>
      <w:r w:rsidRPr="000416E7">
        <w:rPr>
          <w:rStyle w:val="FootnoteReference"/>
          <w:rFonts w:asciiTheme="majorHAnsi" w:hAnsiTheme="majorHAnsi" w:cstheme="majorHAnsi"/>
          <w:sz w:val="22"/>
          <w:szCs w:val="22"/>
        </w:rPr>
        <w:footnoteReference w:id="9"/>
      </w:r>
      <w:r w:rsidRPr="000416E7">
        <w:rPr>
          <w:rFonts w:asciiTheme="majorHAnsi" w:hAnsiTheme="majorHAnsi" w:cstheme="majorHAnsi"/>
          <w:sz w:val="22"/>
          <w:szCs w:val="22"/>
        </w:rPr>
        <w:t xml:space="preserve"> Again the funds (and grant support) can be routed through commercial banks so they can develop low-cost lending programs for their customers to finance improving their energy efficiency.</w:t>
      </w:r>
    </w:p>
    <w:p w14:paraId="25330FA5" w14:textId="625006DE"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As the experience of the Green Deal showed us a decade ago, low cost finance is not enough to stimulate uptake of energy efficiency. Central government must also create the expectation that home-owners are expected to decarbonise their homes. One approach might be to signal the requirement that homes marketed for sale or rent </w:t>
      </w:r>
      <w:r w:rsidR="00DF412C" w:rsidRPr="000416E7">
        <w:rPr>
          <w:rFonts w:asciiTheme="majorHAnsi" w:hAnsiTheme="majorHAnsi" w:cstheme="majorHAnsi"/>
          <w:sz w:val="22"/>
          <w:szCs w:val="22"/>
        </w:rPr>
        <w:t>must</w:t>
      </w:r>
      <w:r w:rsidRPr="000416E7">
        <w:rPr>
          <w:rFonts w:asciiTheme="majorHAnsi" w:hAnsiTheme="majorHAnsi" w:cstheme="majorHAnsi"/>
          <w:sz w:val="22"/>
          <w:szCs w:val="22"/>
        </w:rPr>
        <w:t xml:space="preserve"> attain minimum levels of EPC that become tighter over time. </w:t>
      </w:r>
    </w:p>
    <w:p w14:paraId="32EBF0D4" w14:textId="528777C7" w:rsidR="00873614" w:rsidRPr="000416E7" w:rsidRDefault="00873614" w:rsidP="00873614">
      <w:pPr>
        <w:rPr>
          <w:rFonts w:asciiTheme="majorHAnsi" w:hAnsiTheme="majorHAnsi" w:cstheme="majorHAnsi"/>
          <w:sz w:val="22"/>
          <w:szCs w:val="22"/>
        </w:rPr>
      </w:pPr>
      <w:r w:rsidRPr="000416E7">
        <w:rPr>
          <w:rFonts w:asciiTheme="majorHAnsi" w:hAnsiTheme="majorHAnsi" w:cstheme="majorHAnsi"/>
          <w:sz w:val="22"/>
          <w:szCs w:val="22"/>
        </w:rPr>
        <w:t xml:space="preserve">On the issue of funding local government, the national government can simplify matters for officers by increasing the amount available at one time to local authorities and giving them greater discretion on how resources are spent. Completing the bidding process for small amounts of funding is resource intensive and authorities </w:t>
      </w:r>
      <w:r w:rsidR="00DF412C" w:rsidRPr="000416E7">
        <w:rPr>
          <w:rFonts w:asciiTheme="majorHAnsi" w:hAnsiTheme="majorHAnsi" w:cstheme="majorHAnsi"/>
          <w:sz w:val="22"/>
          <w:szCs w:val="22"/>
        </w:rPr>
        <w:t>must</w:t>
      </w:r>
      <w:r w:rsidRPr="000416E7">
        <w:rPr>
          <w:rFonts w:asciiTheme="majorHAnsi" w:hAnsiTheme="majorHAnsi" w:cstheme="majorHAnsi"/>
          <w:sz w:val="22"/>
          <w:szCs w:val="22"/>
        </w:rPr>
        <w:t xml:space="preserve"> compete against one another. </w:t>
      </w:r>
    </w:p>
    <w:p w14:paraId="2082C9B9" w14:textId="77777777" w:rsidR="00873614" w:rsidRPr="000416E7" w:rsidRDefault="00873614" w:rsidP="00873614">
      <w:pPr>
        <w:rPr>
          <w:rFonts w:asciiTheme="majorHAnsi" w:hAnsiTheme="majorHAnsi" w:cstheme="majorHAnsi"/>
          <w:sz w:val="22"/>
          <w:szCs w:val="22"/>
        </w:rPr>
      </w:pPr>
    </w:p>
    <w:p w14:paraId="54819217" w14:textId="77777777" w:rsidR="00873614" w:rsidRPr="000644B3" w:rsidRDefault="00873614" w:rsidP="00873614"/>
    <w:p w14:paraId="51D094E8" w14:textId="77777777" w:rsidR="00873614" w:rsidRPr="00AB28B8" w:rsidRDefault="00873614" w:rsidP="007067D1">
      <w:pPr>
        <w:autoSpaceDE w:val="0"/>
        <w:autoSpaceDN w:val="0"/>
        <w:adjustRightInd w:val="0"/>
        <w:spacing w:line="240" w:lineRule="auto"/>
        <w:contextualSpacing/>
        <w:jc w:val="both"/>
      </w:pPr>
    </w:p>
    <w:sectPr w:rsidR="00873614" w:rsidRPr="00AB28B8" w:rsidSect="00C53412">
      <w:headerReference w:type="even" r:id="rId12"/>
      <w:headerReference w:type="default" r:id="rId13"/>
      <w:footerReference w:type="even" r:id="rId14"/>
      <w:footerReference w:type="default" r:id="rId15"/>
      <w:headerReference w:type="first" r:id="rId16"/>
      <w:footerReference w:type="first" r:id="rId17"/>
      <w:pgSz w:w="11906" w:h="16838" w:code="9"/>
      <w:pgMar w:top="594" w:right="1021" w:bottom="1701" w:left="79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D281" w14:textId="77777777" w:rsidR="004B1740" w:rsidRDefault="004B1740" w:rsidP="00BA3ADD">
      <w:pPr>
        <w:spacing w:line="240" w:lineRule="auto"/>
      </w:pPr>
      <w:r>
        <w:separator/>
      </w:r>
    </w:p>
  </w:endnote>
  <w:endnote w:type="continuationSeparator" w:id="0">
    <w:p w14:paraId="4F198F8D" w14:textId="77777777" w:rsidR="004B1740" w:rsidRDefault="004B1740" w:rsidP="00BA3ADD">
      <w:pPr>
        <w:spacing w:line="240" w:lineRule="auto"/>
      </w:pPr>
      <w:r>
        <w:continuationSeparator/>
      </w:r>
    </w:p>
  </w:endnote>
  <w:endnote w:type="continuationNotice" w:id="1">
    <w:p w14:paraId="2BF7715E" w14:textId="77777777" w:rsidR="004B1740" w:rsidRDefault="004B1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D359" w14:textId="77777777" w:rsidR="00F2461F" w:rsidRDefault="00F24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BA5332" w14:paraId="2D432006" w14:textId="77777777" w:rsidTr="006062EB">
      <w:trPr>
        <w:cantSplit/>
        <w:trHeight w:hRule="exact" w:val="907"/>
      </w:trPr>
      <w:tc>
        <w:tcPr>
          <w:tcW w:w="7943" w:type="dxa"/>
          <w:vAlign w:val="bottom"/>
        </w:tcPr>
        <w:p w14:paraId="43AA96C2" w14:textId="77777777" w:rsidR="00BA5332" w:rsidRPr="00B91EA0" w:rsidRDefault="00BA5332"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12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12</w:t>
          </w:r>
          <w:r>
            <w:rPr>
              <w:b/>
              <w:noProof/>
              <w:color w:val="522380" w:themeColor="accent1"/>
              <w:sz w:val="22"/>
            </w:rPr>
            <w:fldChar w:fldCharType="end"/>
          </w:r>
        </w:p>
      </w:tc>
      <w:tc>
        <w:tcPr>
          <w:tcW w:w="2375" w:type="dxa"/>
          <w:vAlign w:val="bottom"/>
        </w:tcPr>
        <w:p w14:paraId="02666526" w14:textId="77777777" w:rsidR="00BA5332" w:rsidRPr="00B91EA0" w:rsidRDefault="00BA5332" w:rsidP="006062EB">
          <w:pPr>
            <w:pStyle w:val="Footer"/>
            <w:jc w:val="right"/>
            <w:rPr>
              <w:b/>
              <w:color w:val="522380" w:themeColor="accent1"/>
              <w:sz w:val="22"/>
            </w:rPr>
          </w:pPr>
          <w:r>
            <w:rPr>
              <w:b/>
              <w:noProof/>
              <w:color w:val="522380" w:themeColor="accent1"/>
              <w:sz w:val="22"/>
              <w:lang w:eastAsia="en-GB"/>
            </w:rPr>
            <w:drawing>
              <wp:inline distT="0" distB="0" distL="0" distR="0" wp14:anchorId="26CEF8A6" wp14:editId="6D25C973">
                <wp:extent cx="1130177"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03304906" w14:textId="77777777" w:rsidR="00BA5332" w:rsidRDefault="00BA5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BA5332" w14:paraId="2458CF7E" w14:textId="77777777" w:rsidTr="00FB4122">
      <w:trPr>
        <w:cantSplit/>
        <w:trHeight w:hRule="exact" w:val="907"/>
      </w:trPr>
      <w:tc>
        <w:tcPr>
          <w:tcW w:w="7943" w:type="dxa"/>
          <w:vAlign w:val="bottom"/>
        </w:tcPr>
        <w:p w14:paraId="076AFC86" w14:textId="77777777" w:rsidR="00BA5332" w:rsidRPr="00B91EA0" w:rsidRDefault="00BA5332" w:rsidP="00FB4122">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12</w:t>
          </w:r>
          <w:r>
            <w:rPr>
              <w:b/>
              <w:noProof/>
              <w:color w:val="522380" w:themeColor="accent1"/>
              <w:sz w:val="22"/>
            </w:rPr>
            <w:fldChar w:fldCharType="end"/>
          </w:r>
        </w:p>
      </w:tc>
      <w:tc>
        <w:tcPr>
          <w:tcW w:w="2375" w:type="dxa"/>
          <w:vAlign w:val="bottom"/>
        </w:tcPr>
        <w:p w14:paraId="2E664459" w14:textId="77777777" w:rsidR="00BA5332" w:rsidRPr="00B91EA0" w:rsidRDefault="00BA5332" w:rsidP="00FB4122">
          <w:pPr>
            <w:pStyle w:val="Footer"/>
            <w:jc w:val="right"/>
            <w:rPr>
              <w:b/>
              <w:color w:val="522380" w:themeColor="accent1"/>
              <w:sz w:val="22"/>
            </w:rPr>
          </w:pPr>
          <w:r>
            <w:rPr>
              <w:b/>
              <w:noProof/>
              <w:color w:val="522380" w:themeColor="accent1"/>
              <w:sz w:val="22"/>
              <w:lang w:eastAsia="en-GB"/>
            </w:rPr>
            <w:drawing>
              <wp:inline distT="0" distB="0" distL="0" distR="0" wp14:anchorId="5DAE361D" wp14:editId="7F5EE1C1">
                <wp:extent cx="1130177" cy="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7E1CE159" w14:textId="77777777" w:rsidR="00BA5332" w:rsidRDefault="00BA5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75FD7" w14:textId="77777777" w:rsidR="004B1740" w:rsidRPr="002C64EC" w:rsidRDefault="004B1740" w:rsidP="00BA3ADD">
      <w:pPr>
        <w:spacing w:line="240" w:lineRule="auto"/>
        <w:rPr>
          <w:color w:val="E1DCEB" w:themeColor="accent2"/>
        </w:rPr>
      </w:pPr>
      <w:r w:rsidRPr="002C64EC">
        <w:rPr>
          <w:color w:val="E1DCEB" w:themeColor="accent2"/>
        </w:rPr>
        <w:separator/>
      </w:r>
    </w:p>
  </w:footnote>
  <w:footnote w:type="continuationSeparator" w:id="0">
    <w:p w14:paraId="6425E0B7" w14:textId="77777777" w:rsidR="004B1740" w:rsidRPr="002C64EC" w:rsidRDefault="004B1740" w:rsidP="00BA3ADD">
      <w:pPr>
        <w:spacing w:line="240" w:lineRule="auto"/>
        <w:rPr>
          <w:color w:val="E1DCEB" w:themeColor="accent2"/>
        </w:rPr>
      </w:pPr>
      <w:r w:rsidRPr="002C64EC">
        <w:rPr>
          <w:color w:val="E1DCEB" w:themeColor="accent2"/>
        </w:rPr>
        <w:continuationSeparator/>
      </w:r>
    </w:p>
  </w:footnote>
  <w:footnote w:type="continuationNotice" w:id="1">
    <w:p w14:paraId="2BA2E4CF" w14:textId="77777777" w:rsidR="004B1740" w:rsidRDefault="004B1740">
      <w:pPr>
        <w:spacing w:line="240" w:lineRule="auto"/>
      </w:pPr>
    </w:p>
  </w:footnote>
  <w:footnote w:id="2">
    <w:p w14:paraId="4970C930" w14:textId="77777777" w:rsidR="000C7FD8" w:rsidRDefault="000C7FD8" w:rsidP="000C7FD8">
      <w:pPr>
        <w:pStyle w:val="FootnoteText"/>
      </w:pPr>
      <w:r>
        <w:rPr>
          <w:rStyle w:val="FootnoteReference"/>
        </w:rPr>
        <w:footnoteRef/>
      </w:r>
      <w:r>
        <w:t xml:space="preserve"> </w:t>
      </w:r>
      <w:r w:rsidRPr="009B057B">
        <w:t>https://cp.catapult.org.uk/project/uk-cities-climate-investment-commission/</w:t>
      </w:r>
    </w:p>
  </w:footnote>
  <w:footnote w:id="3">
    <w:p w14:paraId="57311BA6" w14:textId="580324C2" w:rsidR="00BA5332" w:rsidRDefault="00BA5332" w:rsidP="00136681">
      <w:pPr>
        <w:pStyle w:val="FootnoteText"/>
        <w:tabs>
          <w:tab w:val="left" w:pos="3516"/>
        </w:tabs>
      </w:pPr>
      <w:r>
        <w:rPr>
          <w:rStyle w:val="FootnoteReference"/>
        </w:rPr>
        <w:footnoteRef/>
      </w:r>
      <w:r>
        <w:t xml:space="preserve"> </w:t>
      </w:r>
      <w:r w:rsidRPr="00136681">
        <w:t>www.londoncouncils.gov.uk/our-key-themes/climate-change</w:t>
      </w:r>
    </w:p>
  </w:footnote>
  <w:footnote w:id="4">
    <w:p w14:paraId="11FE979C" w14:textId="77777777" w:rsidR="00BA5332" w:rsidRDefault="00BA5332" w:rsidP="00873614">
      <w:pPr>
        <w:pStyle w:val="FootnoteText"/>
      </w:pPr>
      <w:r>
        <w:rPr>
          <w:rStyle w:val="FootnoteReference"/>
        </w:rPr>
        <w:footnoteRef/>
      </w:r>
      <w:r>
        <w:t xml:space="preserve"> </w:t>
      </w:r>
      <w:r w:rsidRPr="009B057B">
        <w:t>https://cp.catapult.org.uk/project/uk-cities-climate-investment-commission/</w:t>
      </w:r>
    </w:p>
  </w:footnote>
  <w:footnote w:id="5">
    <w:p w14:paraId="6F0AE927" w14:textId="77777777" w:rsidR="00BA5332" w:rsidRDefault="00BA5332" w:rsidP="00873614">
      <w:pPr>
        <w:pStyle w:val="FootnoteText"/>
      </w:pPr>
      <w:r>
        <w:rPr>
          <w:rStyle w:val="FootnoteReference"/>
        </w:rPr>
        <w:footnoteRef/>
      </w:r>
      <w:r>
        <w:t xml:space="preserve"> </w:t>
      </w:r>
      <w:hyperlink r:id="rId1" w:history="1">
        <w:r>
          <w:rPr>
            <w:rStyle w:val="Hyperlink"/>
          </w:rPr>
          <w:t>Retrofit London Housing Action Plan | London Councils</w:t>
        </w:r>
      </w:hyperlink>
    </w:p>
  </w:footnote>
  <w:footnote w:id="6">
    <w:p w14:paraId="5D1410A5" w14:textId="12957131" w:rsidR="00222C37" w:rsidRDefault="00222C37">
      <w:pPr>
        <w:pStyle w:val="FootnoteText"/>
      </w:pPr>
      <w:r>
        <w:rPr>
          <w:rStyle w:val="FootnoteReference"/>
        </w:rPr>
        <w:footnoteRef/>
      </w:r>
      <w:r>
        <w:t xml:space="preserve"> </w:t>
      </w:r>
      <w:r w:rsidRPr="00222C37">
        <w:t>http://wpieconomics.com/site/wp-content/uploads/2021/10/Green-Jobs-and-Skills-in-London-Final-Report-1.pdf</w:t>
      </w:r>
    </w:p>
  </w:footnote>
  <w:footnote w:id="7">
    <w:p w14:paraId="109F60D3" w14:textId="77777777" w:rsidR="00BA5332" w:rsidRDefault="00BA5332" w:rsidP="00873614">
      <w:pPr>
        <w:pStyle w:val="FootnoteText"/>
      </w:pPr>
      <w:r>
        <w:rPr>
          <w:rStyle w:val="FootnoteReference"/>
        </w:rPr>
        <w:footnoteRef/>
      </w:r>
      <w:r>
        <w:t xml:space="preserve"> </w:t>
      </w:r>
      <w:hyperlink r:id="rId2" w:history="1">
        <w:r>
          <w:rPr>
            <w:rStyle w:val="Hyperlink"/>
          </w:rPr>
          <w:t>New report on local authority retrofit finance (greenfinanceinstitute.co.uk)</w:t>
        </w:r>
      </w:hyperlink>
      <w:r>
        <w:t xml:space="preserve"> </w:t>
      </w:r>
    </w:p>
  </w:footnote>
  <w:footnote w:id="8">
    <w:p w14:paraId="4D52489B" w14:textId="77777777" w:rsidR="00BA5332" w:rsidRDefault="00BA5332" w:rsidP="00873614">
      <w:pPr>
        <w:pStyle w:val="FootnoteText"/>
      </w:pPr>
      <w:r>
        <w:rPr>
          <w:rStyle w:val="FootnoteReference"/>
        </w:rPr>
        <w:footnoteRef/>
      </w:r>
      <w:r>
        <w:t xml:space="preserve"> </w:t>
      </w:r>
      <w:hyperlink r:id="rId3" w:anchor=":~:text=The%20BoJ%20will%20offer%20zero,will%20be%20against%20pooled%20collateral." w:history="1">
        <w:r>
          <w:rPr>
            <w:rStyle w:val="Hyperlink"/>
          </w:rPr>
          <w:t>BoJ to offer zero-interest loans for climate projects - Central Banking</w:t>
        </w:r>
      </w:hyperlink>
    </w:p>
  </w:footnote>
  <w:footnote w:id="9">
    <w:p w14:paraId="68B846DC" w14:textId="77777777" w:rsidR="00BA5332" w:rsidRDefault="00BA5332" w:rsidP="00873614">
      <w:pPr>
        <w:pStyle w:val="FootnoteText"/>
      </w:pPr>
      <w:r>
        <w:rPr>
          <w:rStyle w:val="FootnoteReference"/>
        </w:rPr>
        <w:footnoteRef/>
      </w:r>
      <w:r>
        <w:t xml:space="preserve"> </w:t>
      </w:r>
      <w:hyperlink r:id="rId4" w:history="1">
        <w:r>
          <w:rPr>
            <w:rStyle w:val="Hyperlink"/>
          </w:rPr>
          <w:t>Energy efficiency, corporate environmental protection and renewable energies | KfW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C7AA" w14:textId="77777777" w:rsidR="00F2461F" w:rsidRDefault="00F24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BA5332" w14:paraId="10263ACA" w14:textId="77777777" w:rsidTr="00E253CF">
      <w:trPr>
        <w:cantSplit/>
        <w:trHeight w:val="624"/>
      </w:trPr>
      <w:tc>
        <w:tcPr>
          <w:tcW w:w="10148" w:type="dxa"/>
          <w:gridSpan w:val="2"/>
          <w:shd w:val="clear" w:color="auto" w:fill="522380" w:themeFill="accent1"/>
          <w:vAlign w:val="bottom"/>
        </w:tcPr>
        <w:p w14:paraId="58A6C025" w14:textId="14B016EA" w:rsidR="00BA5332" w:rsidRPr="004F1C42" w:rsidRDefault="00BA5332" w:rsidP="00580BE8">
          <w:pPr>
            <w:pStyle w:val="Header"/>
            <w:spacing w:after="80"/>
            <w:ind w:left="85"/>
            <w:rPr>
              <w:color w:val="FFFFFF" w:themeColor="background1"/>
              <w:sz w:val="22"/>
            </w:rPr>
          </w:pPr>
          <w:r>
            <w:rPr>
              <w:color w:val="FFFFFF" w:themeColor="background1"/>
              <w:sz w:val="22"/>
            </w:rPr>
            <w:t>28/08/2020</w:t>
          </w:r>
        </w:p>
      </w:tc>
    </w:tr>
    <w:tr w:rsidR="00BA5332" w14:paraId="40F22033" w14:textId="77777777" w:rsidTr="00554B6B">
      <w:trPr>
        <w:cantSplit/>
        <w:trHeight w:val="312"/>
      </w:trPr>
      <w:tc>
        <w:tcPr>
          <w:tcW w:w="8080" w:type="dxa"/>
          <w:vAlign w:val="bottom"/>
        </w:tcPr>
        <w:p w14:paraId="25AA07B7" w14:textId="19DA80D2" w:rsidR="00BA5332" w:rsidRPr="005373FE" w:rsidRDefault="00BA5332"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D4373F">
            <w:rPr>
              <w:b/>
              <w:noProof/>
              <w:color w:val="EC098D" w:themeColor="accent3"/>
              <w:sz w:val="24"/>
            </w:rPr>
            <w:t>Update to the Green Finance Strategy, call for evidence</w:t>
          </w:r>
          <w:r w:rsidRPr="005373FE">
            <w:rPr>
              <w:b/>
              <w:color w:val="EC098D" w:themeColor="accent3"/>
              <w:sz w:val="24"/>
            </w:rPr>
            <w:fldChar w:fldCharType="end"/>
          </w:r>
        </w:p>
      </w:tc>
      <w:tc>
        <w:tcPr>
          <w:tcW w:w="2068" w:type="dxa"/>
          <w:vAlign w:val="bottom"/>
        </w:tcPr>
        <w:p w14:paraId="06F6B107" w14:textId="77777777" w:rsidR="00BA5332" w:rsidRPr="005373FE" w:rsidRDefault="00BA5332" w:rsidP="005373FE">
          <w:pPr>
            <w:pStyle w:val="Header"/>
            <w:jc w:val="right"/>
            <w:rPr>
              <w:b/>
              <w:color w:val="522380" w:themeColor="accent1"/>
              <w:sz w:val="24"/>
            </w:rPr>
          </w:pPr>
          <w:r w:rsidRPr="005373FE">
            <w:rPr>
              <w:b/>
              <w:color w:val="522380" w:themeColor="accent1"/>
              <w:sz w:val="24"/>
            </w:rPr>
            <w:t>London Councils</w:t>
          </w:r>
        </w:p>
      </w:tc>
    </w:tr>
  </w:tbl>
  <w:p w14:paraId="23CA2962" w14:textId="002A8782" w:rsidR="00BA5332" w:rsidRDefault="00BA5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BA5332" w14:paraId="5B2EE8E2" w14:textId="77777777" w:rsidTr="00E253CF">
      <w:trPr>
        <w:cantSplit/>
        <w:trHeight w:val="624"/>
      </w:trPr>
      <w:tc>
        <w:tcPr>
          <w:tcW w:w="10148" w:type="dxa"/>
          <w:gridSpan w:val="2"/>
          <w:shd w:val="clear" w:color="auto" w:fill="522380" w:themeFill="accent1"/>
          <w:vAlign w:val="bottom"/>
        </w:tcPr>
        <w:p w14:paraId="0F701DAB" w14:textId="5268278B" w:rsidR="00BA5332" w:rsidRPr="004F1C42" w:rsidRDefault="00BA5332" w:rsidP="00FB4122">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6E6060">
            <w:rPr>
              <w:noProof/>
              <w:color w:val="FFFFFF" w:themeColor="background1"/>
              <w:sz w:val="22"/>
            </w:rPr>
            <w:t>Wednesday 22 June 2022</w:t>
          </w:r>
          <w:r>
            <w:rPr>
              <w:color w:val="FFFFFF" w:themeColor="background1"/>
              <w:sz w:val="22"/>
            </w:rPr>
            <w:fldChar w:fldCharType="end"/>
          </w:r>
        </w:p>
      </w:tc>
    </w:tr>
    <w:tr w:rsidR="00BA5332" w14:paraId="556D73D7" w14:textId="77777777" w:rsidTr="00514B1B">
      <w:trPr>
        <w:cantSplit/>
        <w:trHeight w:hRule="exact" w:val="312"/>
      </w:trPr>
      <w:tc>
        <w:tcPr>
          <w:tcW w:w="8080" w:type="dxa"/>
          <w:vAlign w:val="bottom"/>
        </w:tcPr>
        <w:p w14:paraId="31A9160C" w14:textId="77777777" w:rsidR="00BA5332" w:rsidRPr="005373FE" w:rsidRDefault="00BA5332" w:rsidP="00FB4122">
          <w:pPr>
            <w:pStyle w:val="Header"/>
            <w:rPr>
              <w:b/>
              <w:color w:val="EC098D" w:themeColor="accent3"/>
              <w:sz w:val="24"/>
            </w:rPr>
          </w:pPr>
        </w:p>
      </w:tc>
      <w:tc>
        <w:tcPr>
          <w:tcW w:w="2063" w:type="dxa"/>
          <w:vAlign w:val="bottom"/>
        </w:tcPr>
        <w:p w14:paraId="3EBF8C12" w14:textId="77777777" w:rsidR="00BA5332" w:rsidRPr="005373FE" w:rsidRDefault="00BA5332" w:rsidP="00FB4122">
          <w:pPr>
            <w:pStyle w:val="Header"/>
            <w:jc w:val="right"/>
            <w:rPr>
              <w:b/>
              <w:color w:val="522380" w:themeColor="accent1"/>
              <w:sz w:val="24"/>
            </w:rPr>
          </w:pPr>
          <w:r w:rsidRPr="005373FE">
            <w:rPr>
              <w:b/>
              <w:color w:val="522380" w:themeColor="accent1"/>
              <w:sz w:val="24"/>
            </w:rPr>
            <w:t>London Councils</w:t>
          </w:r>
        </w:p>
      </w:tc>
    </w:tr>
  </w:tbl>
  <w:p w14:paraId="6301EF1F" w14:textId="7106CA84" w:rsidR="00BA5332" w:rsidRDefault="00BA5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585889"/>
    <w:multiLevelType w:val="hybridMultilevel"/>
    <w:tmpl w:val="92FF76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10E039"/>
    <w:multiLevelType w:val="hybridMultilevel"/>
    <w:tmpl w:val="7F700C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A407F0"/>
    <w:multiLevelType w:val="hybridMultilevel"/>
    <w:tmpl w:val="ABB0E5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57A94B"/>
    <w:multiLevelType w:val="hybridMultilevel"/>
    <w:tmpl w:val="98D83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77CB78"/>
    <w:multiLevelType w:val="hybridMultilevel"/>
    <w:tmpl w:val="3572A6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724014"/>
    <w:multiLevelType w:val="hybridMultilevel"/>
    <w:tmpl w:val="37BA2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261808"/>
    <w:multiLevelType w:val="hybridMultilevel"/>
    <w:tmpl w:val="A9269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0A38F5"/>
    <w:multiLevelType w:val="hybridMultilevel"/>
    <w:tmpl w:val="A9EE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32FC1"/>
    <w:multiLevelType w:val="hybridMultilevel"/>
    <w:tmpl w:val="9A80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0654B1"/>
    <w:multiLevelType w:val="hybridMultilevel"/>
    <w:tmpl w:val="E092C2FE"/>
    <w:lvl w:ilvl="0" w:tplc="FE20B150">
      <w:start w:val="1"/>
      <w:numFmt w:val="decimal"/>
      <w:lvlText w:val="%1."/>
      <w:lvlJc w:val="left"/>
      <w:pPr>
        <w:ind w:left="644"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A901CF"/>
    <w:multiLevelType w:val="hybridMultilevel"/>
    <w:tmpl w:val="1F4C0F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C661C45"/>
    <w:multiLevelType w:val="hybridMultilevel"/>
    <w:tmpl w:val="2E7A7EDE"/>
    <w:lvl w:ilvl="0" w:tplc="2C4A62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F979C9"/>
    <w:multiLevelType w:val="hybridMultilevel"/>
    <w:tmpl w:val="CC58FD54"/>
    <w:lvl w:ilvl="0" w:tplc="66125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540EE"/>
    <w:multiLevelType w:val="hybridMultilevel"/>
    <w:tmpl w:val="D506FA18"/>
    <w:lvl w:ilvl="0" w:tplc="7632CA56">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84071"/>
    <w:multiLevelType w:val="hybridMultilevel"/>
    <w:tmpl w:val="E6F257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853C68"/>
    <w:multiLevelType w:val="hybridMultilevel"/>
    <w:tmpl w:val="5748B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8359F5"/>
    <w:multiLevelType w:val="multilevel"/>
    <w:tmpl w:val="B5C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B7A88"/>
    <w:multiLevelType w:val="hybridMultilevel"/>
    <w:tmpl w:val="B74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75202"/>
    <w:multiLevelType w:val="hybridMultilevel"/>
    <w:tmpl w:val="394A3AB8"/>
    <w:lvl w:ilvl="0" w:tplc="0E88EC1A">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C3C07"/>
    <w:multiLevelType w:val="hybridMultilevel"/>
    <w:tmpl w:val="A77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2" w15:restartNumberingAfterBreak="0">
    <w:nsid w:val="4B4675C2"/>
    <w:multiLevelType w:val="hybridMultilevel"/>
    <w:tmpl w:val="A58C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E794C"/>
    <w:multiLevelType w:val="hybridMultilevel"/>
    <w:tmpl w:val="7384F602"/>
    <w:lvl w:ilvl="0" w:tplc="6C4073F8">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62BDD"/>
    <w:multiLevelType w:val="hybridMultilevel"/>
    <w:tmpl w:val="A8FF1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1002685"/>
    <w:multiLevelType w:val="hybridMultilevel"/>
    <w:tmpl w:val="D14E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A2A07"/>
    <w:multiLevelType w:val="hybridMultilevel"/>
    <w:tmpl w:val="2534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8" w15:restartNumberingAfterBreak="0">
    <w:nsid w:val="63074563"/>
    <w:multiLevelType w:val="hybridMultilevel"/>
    <w:tmpl w:val="8EA603AE"/>
    <w:lvl w:ilvl="0" w:tplc="08090001">
      <w:start w:val="1"/>
      <w:numFmt w:val="bullet"/>
      <w:lvlText w:val=""/>
      <w:lvlJc w:val="left"/>
      <w:pPr>
        <w:ind w:left="360" w:hanging="360"/>
      </w:pPr>
      <w:rPr>
        <w:rFonts w:ascii="Symbol" w:hAnsi="Symbol" w:hint="default"/>
      </w:rPr>
    </w:lvl>
    <w:lvl w:ilvl="1" w:tplc="7626327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9E7BE8"/>
    <w:multiLevelType w:val="hybridMultilevel"/>
    <w:tmpl w:val="881E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66330"/>
    <w:multiLevelType w:val="hybridMultilevel"/>
    <w:tmpl w:val="EA6E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D0077"/>
    <w:multiLevelType w:val="hybridMultilevel"/>
    <w:tmpl w:val="6BEEFA28"/>
    <w:lvl w:ilvl="0" w:tplc="0809000F">
      <w:start w:val="1"/>
      <w:numFmt w:val="decimal"/>
      <w:lvlText w:val="%1."/>
      <w:lvlJc w:val="left"/>
      <w:pPr>
        <w:ind w:left="825" w:hanging="465"/>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28F15A2"/>
    <w:multiLevelType w:val="hybridMultilevel"/>
    <w:tmpl w:val="12BAD4FE"/>
    <w:lvl w:ilvl="0" w:tplc="8E803F48">
      <w:numFmt w:val="bullet"/>
      <w:lvlText w:val="-"/>
      <w:lvlJc w:val="left"/>
      <w:pPr>
        <w:ind w:left="720" w:hanging="360"/>
      </w:pPr>
      <w:rPr>
        <w:rFonts w:ascii="Arial" w:eastAsiaTheme="minorHAnsi" w:hAnsi="Arial" w:cs="Aria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C367FA"/>
    <w:multiLevelType w:val="hybridMultilevel"/>
    <w:tmpl w:val="7C0A2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A8A5F58"/>
    <w:multiLevelType w:val="hybridMultilevel"/>
    <w:tmpl w:val="D7C0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31"/>
  </w:num>
  <w:num w:numId="4">
    <w:abstractNumId w:val="12"/>
  </w:num>
  <w:num w:numId="5">
    <w:abstractNumId w:val="27"/>
  </w:num>
  <w:num w:numId="6">
    <w:abstractNumId w:val="0"/>
  </w:num>
  <w:num w:numId="7">
    <w:abstractNumId w:val="3"/>
  </w:num>
  <w:num w:numId="8">
    <w:abstractNumId w:val="25"/>
  </w:num>
  <w:num w:numId="9">
    <w:abstractNumId w:val="9"/>
  </w:num>
  <w:num w:numId="10">
    <w:abstractNumId w:val="4"/>
  </w:num>
  <w:num w:numId="11">
    <w:abstractNumId w:val="2"/>
  </w:num>
  <w:num w:numId="12">
    <w:abstractNumId w:val="24"/>
  </w:num>
  <w:num w:numId="13">
    <w:abstractNumId w:val="6"/>
  </w:num>
  <w:num w:numId="14">
    <w:abstractNumId w:val="1"/>
  </w:num>
  <w:num w:numId="15">
    <w:abstractNumId w:val="15"/>
  </w:num>
  <w:num w:numId="16">
    <w:abstractNumId w:val="22"/>
  </w:num>
  <w:num w:numId="17">
    <w:abstractNumId w:val="29"/>
  </w:num>
  <w:num w:numId="18">
    <w:abstractNumId w:val="28"/>
  </w:num>
  <w:num w:numId="19">
    <w:abstractNumId w:val="17"/>
  </w:num>
  <w:num w:numId="20">
    <w:abstractNumId w:val="36"/>
  </w:num>
  <w:num w:numId="21">
    <w:abstractNumId w:val="11"/>
  </w:num>
  <w:num w:numId="22">
    <w:abstractNumId w:val="18"/>
  </w:num>
  <w:num w:numId="23">
    <w:abstractNumId w:val="23"/>
  </w:num>
  <w:num w:numId="24">
    <w:abstractNumId w:val="13"/>
  </w:num>
  <w:num w:numId="25">
    <w:abstractNumId w:val="19"/>
  </w:num>
  <w:num w:numId="26">
    <w:abstractNumId w:val="33"/>
  </w:num>
  <w:num w:numId="27">
    <w:abstractNumId w:val="16"/>
  </w:num>
  <w:num w:numId="28">
    <w:abstractNumId w:val="32"/>
  </w:num>
  <w:num w:numId="29">
    <w:abstractNumId w:val="8"/>
  </w:num>
  <w:num w:numId="30">
    <w:abstractNumId w:val="20"/>
  </w:num>
  <w:num w:numId="31">
    <w:abstractNumId w:val="5"/>
  </w:num>
  <w:num w:numId="32">
    <w:abstractNumId w:val="30"/>
  </w:num>
  <w:num w:numId="33">
    <w:abstractNumId w:val="7"/>
  </w:num>
  <w:num w:numId="34">
    <w:abstractNumId w:val="10"/>
  </w:num>
  <w:num w:numId="35">
    <w:abstractNumId w:val="14"/>
  </w:num>
  <w:num w:numId="36">
    <w:abstractNumId w:val="34"/>
  </w:num>
  <w:num w:numId="3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61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2C"/>
    <w:rsid w:val="000024EB"/>
    <w:rsid w:val="00002812"/>
    <w:rsid w:val="000041D9"/>
    <w:rsid w:val="00007D97"/>
    <w:rsid w:val="0001761D"/>
    <w:rsid w:val="000208EB"/>
    <w:rsid w:val="0002522A"/>
    <w:rsid w:val="00026D7A"/>
    <w:rsid w:val="00030FE3"/>
    <w:rsid w:val="0003433C"/>
    <w:rsid w:val="000345AB"/>
    <w:rsid w:val="0004067C"/>
    <w:rsid w:val="00040E33"/>
    <w:rsid w:val="000412A5"/>
    <w:rsid w:val="0004144B"/>
    <w:rsid w:val="000416E7"/>
    <w:rsid w:val="0004188F"/>
    <w:rsid w:val="0004346A"/>
    <w:rsid w:val="000436A0"/>
    <w:rsid w:val="00045A24"/>
    <w:rsid w:val="00046278"/>
    <w:rsid w:val="00047823"/>
    <w:rsid w:val="000643A6"/>
    <w:rsid w:val="000659D8"/>
    <w:rsid w:val="00065E35"/>
    <w:rsid w:val="000725E6"/>
    <w:rsid w:val="00074939"/>
    <w:rsid w:val="00075B43"/>
    <w:rsid w:val="00077484"/>
    <w:rsid w:val="000776ED"/>
    <w:rsid w:val="00081775"/>
    <w:rsid w:val="00085D46"/>
    <w:rsid w:val="00090871"/>
    <w:rsid w:val="00091279"/>
    <w:rsid w:val="0009500D"/>
    <w:rsid w:val="00096537"/>
    <w:rsid w:val="00096CAE"/>
    <w:rsid w:val="000A3F22"/>
    <w:rsid w:val="000A4A98"/>
    <w:rsid w:val="000A4E7A"/>
    <w:rsid w:val="000B3DFB"/>
    <w:rsid w:val="000B6410"/>
    <w:rsid w:val="000B6434"/>
    <w:rsid w:val="000B7278"/>
    <w:rsid w:val="000C19E7"/>
    <w:rsid w:val="000C2625"/>
    <w:rsid w:val="000C5975"/>
    <w:rsid w:val="000C5B9B"/>
    <w:rsid w:val="000C65DC"/>
    <w:rsid w:val="000C6E7C"/>
    <w:rsid w:val="000C7FD8"/>
    <w:rsid w:val="000D22C7"/>
    <w:rsid w:val="000D2714"/>
    <w:rsid w:val="000D4280"/>
    <w:rsid w:val="000D5C83"/>
    <w:rsid w:val="000D71A7"/>
    <w:rsid w:val="000E3E0F"/>
    <w:rsid w:val="000E4D92"/>
    <w:rsid w:val="000F0B51"/>
    <w:rsid w:val="000F33F0"/>
    <w:rsid w:val="000F4A65"/>
    <w:rsid w:val="001009CF"/>
    <w:rsid w:val="0010283A"/>
    <w:rsid w:val="00112072"/>
    <w:rsid w:val="00115E35"/>
    <w:rsid w:val="00117998"/>
    <w:rsid w:val="00122A66"/>
    <w:rsid w:val="00122CAE"/>
    <w:rsid w:val="001236D5"/>
    <w:rsid w:val="0012685F"/>
    <w:rsid w:val="00126A71"/>
    <w:rsid w:val="001319A7"/>
    <w:rsid w:val="00134DCC"/>
    <w:rsid w:val="001355C8"/>
    <w:rsid w:val="0013598A"/>
    <w:rsid w:val="00136681"/>
    <w:rsid w:val="0013785F"/>
    <w:rsid w:val="0014146A"/>
    <w:rsid w:val="00144483"/>
    <w:rsid w:val="00151323"/>
    <w:rsid w:val="00154FFA"/>
    <w:rsid w:val="00155246"/>
    <w:rsid w:val="00157AEE"/>
    <w:rsid w:val="0016210E"/>
    <w:rsid w:val="00165800"/>
    <w:rsid w:val="00174C83"/>
    <w:rsid w:val="00175734"/>
    <w:rsid w:val="00175F65"/>
    <w:rsid w:val="00181244"/>
    <w:rsid w:val="00183267"/>
    <w:rsid w:val="0018722F"/>
    <w:rsid w:val="00190E6A"/>
    <w:rsid w:val="00191870"/>
    <w:rsid w:val="00193596"/>
    <w:rsid w:val="0019468D"/>
    <w:rsid w:val="00196B98"/>
    <w:rsid w:val="00197A94"/>
    <w:rsid w:val="001A0071"/>
    <w:rsid w:val="001A1CDB"/>
    <w:rsid w:val="001A51F3"/>
    <w:rsid w:val="001A6534"/>
    <w:rsid w:val="001A79B9"/>
    <w:rsid w:val="001B1933"/>
    <w:rsid w:val="001B1A43"/>
    <w:rsid w:val="001B2B15"/>
    <w:rsid w:val="001B37CB"/>
    <w:rsid w:val="001B5ADA"/>
    <w:rsid w:val="001B74B1"/>
    <w:rsid w:val="001B7A60"/>
    <w:rsid w:val="001C088F"/>
    <w:rsid w:val="001C335F"/>
    <w:rsid w:val="001C4302"/>
    <w:rsid w:val="001C561D"/>
    <w:rsid w:val="001D1986"/>
    <w:rsid w:val="001D216F"/>
    <w:rsid w:val="001D45C3"/>
    <w:rsid w:val="001D70DE"/>
    <w:rsid w:val="001D7B7B"/>
    <w:rsid w:val="001E169F"/>
    <w:rsid w:val="001E29E2"/>
    <w:rsid w:val="001E47C3"/>
    <w:rsid w:val="001E5A79"/>
    <w:rsid w:val="001E5EC1"/>
    <w:rsid w:val="001E5FFA"/>
    <w:rsid w:val="001F141E"/>
    <w:rsid w:val="001F38AE"/>
    <w:rsid w:val="001F5A79"/>
    <w:rsid w:val="001F5E3A"/>
    <w:rsid w:val="001F662D"/>
    <w:rsid w:val="001F67A9"/>
    <w:rsid w:val="00203441"/>
    <w:rsid w:val="00205A7F"/>
    <w:rsid w:val="00205B14"/>
    <w:rsid w:val="00205D3A"/>
    <w:rsid w:val="002070ED"/>
    <w:rsid w:val="002104B6"/>
    <w:rsid w:val="00211489"/>
    <w:rsid w:val="00212E01"/>
    <w:rsid w:val="002131A0"/>
    <w:rsid w:val="0021493E"/>
    <w:rsid w:val="00214BAA"/>
    <w:rsid w:val="00215F07"/>
    <w:rsid w:val="002215E0"/>
    <w:rsid w:val="0022271B"/>
    <w:rsid w:val="00222C37"/>
    <w:rsid w:val="002250DB"/>
    <w:rsid w:val="00225EC2"/>
    <w:rsid w:val="00226651"/>
    <w:rsid w:val="002307F6"/>
    <w:rsid w:val="00230FA7"/>
    <w:rsid w:val="00236C50"/>
    <w:rsid w:val="0024273C"/>
    <w:rsid w:val="00245227"/>
    <w:rsid w:val="00246075"/>
    <w:rsid w:val="00246324"/>
    <w:rsid w:val="002464D8"/>
    <w:rsid w:val="00253ABA"/>
    <w:rsid w:val="00254570"/>
    <w:rsid w:val="00260B8A"/>
    <w:rsid w:val="00266002"/>
    <w:rsid w:val="00267D8F"/>
    <w:rsid w:val="00270209"/>
    <w:rsid w:val="0027112D"/>
    <w:rsid w:val="00271513"/>
    <w:rsid w:val="00273E28"/>
    <w:rsid w:val="00274C4E"/>
    <w:rsid w:val="0027555E"/>
    <w:rsid w:val="00277139"/>
    <w:rsid w:val="0027754F"/>
    <w:rsid w:val="00281070"/>
    <w:rsid w:val="002814B8"/>
    <w:rsid w:val="00281DEA"/>
    <w:rsid w:val="002839B5"/>
    <w:rsid w:val="002839CE"/>
    <w:rsid w:val="00290A28"/>
    <w:rsid w:val="00290AEE"/>
    <w:rsid w:val="002927DF"/>
    <w:rsid w:val="00297B04"/>
    <w:rsid w:val="002A1EC5"/>
    <w:rsid w:val="002A3188"/>
    <w:rsid w:val="002A47D9"/>
    <w:rsid w:val="002A48ED"/>
    <w:rsid w:val="002B437A"/>
    <w:rsid w:val="002B4767"/>
    <w:rsid w:val="002C4417"/>
    <w:rsid w:val="002C64EC"/>
    <w:rsid w:val="002C7A99"/>
    <w:rsid w:val="002C7E16"/>
    <w:rsid w:val="002D1022"/>
    <w:rsid w:val="002D1E75"/>
    <w:rsid w:val="002D239E"/>
    <w:rsid w:val="002D42BB"/>
    <w:rsid w:val="002D46EA"/>
    <w:rsid w:val="002D7DEA"/>
    <w:rsid w:val="002E24F3"/>
    <w:rsid w:val="002E2511"/>
    <w:rsid w:val="002E5434"/>
    <w:rsid w:val="002F0E5A"/>
    <w:rsid w:val="002F3CC9"/>
    <w:rsid w:val="002F5137"/>
    <w:rsid w:val="0030062C"/>
    <w:rsid w:val="00303087"/>
    <w:rsid w:val="003033D3"/>
    <w:rsid w:val="00304BDA"/>
    <w:rsid w:val="0030597B"/>
    <w:rsid w:val="00305E4D"/>
    <w:rsid w:val="00307E6D"/>
    <w:rsid w:val="00310E7E"/>
    <w:rsid w:val="00311DA1"/>
    <w:rsid w:val="00313A88"/>
    <w:rsid w:val="003226BC"/>
    <w:rsid w:val="0032465D"/>
    <w:rsid w:val="00326FF5"/>
    <w:rsid w:val="00327516"/>
    <w:rsid w:val="00327CB8"/>
    <w:rsid w:val="00330481"/>
    <w:rsid w:val="003307DC"/>
    <w:rsid w:val="00330E23"/>
    <w:rsid w:val="003318B1"/>
    <w:rsid w:val="00335A6B"/>
    <w:rsid w:val="00336215"/>
    <w:rsid w:val="00336DB0"/>
    <w:rsid w:val="00337178"/>
    <w:rsid w:val="0034003C"/>
    <w:rsid w:val="00340048"/>
    <w:rsid w:val="0034528A"/>
    <w:rsid w:val="00345B7D"/>
    <w:rsid w:val="00347B7E"/>
    <w:rsid w:val="003502CC"/>
    <w:rsid w:val="00351EF2"/>
    <w:rsid w:val="0035486E"/>
    <w:rsid w:val="00355D0A"/>
    <w:rsid w:val="00356FD1"/>
    <w:rsid w:val="003606B2"/>
    <w:rsid w:val="003607D3"/>
    <w:rsid w:val="00361E83"/>
    <w:rsid w:val="00362B49"/>
    <w:rsid w:val="003640FA"/>
    <w:rsid w:val="00367582"/>
    <w:rsid w:val="00367F1D"/>
    <w:rsid w:val="00370111"/>
    <w:rsid w:val="00373608"/>
    <w:rsid w:val="003747C5"/>
    <w:rsid w:val="00377E42"/>
    <w:rsid w:val="00380BF9"/>
    <w:rsid w:val="00381321"/>
    <w:rsid w:val="0038236C"/>
    <w:rsid w:val="00383354"/>
    <w:rsid w:val="00383BDE"/>
    <w:rsid w:val="003842C1"/>
    <w:rsid w:val="003869F6"/>
    <w:rsid w:val="003876CA"/>
    <w:rsid w:val="0039111A"/>
    <w:rsid w:val="00391F3E"/>
    <w:rsid w:val="00392340"/>
    <w:rsid w:val="00392354"/>
    <w:rsid w:val="0039274D"/>
    <w:rsid w:val="00394A58"/>
    <w:rsid w:val="0039500C"/>
    <w:rsid w:val="003965FB"/>
    <w:rsid w:val="00397E5B"/>
    <w:rsid w:val="003A09D2"/>
    <w:rsid w:val="003A1A3B"/>
    <w:rsid w:val="003A2498"/>
    <w:rsid w:val="003A6E96"/>
    <w:rsid w:val="003A774F"/>
    <w:rsid w:val="003B1414"/>
    <w:rsid w:val="003B1AA4"/>
    <w:rsid w:val="003B27F2"/>
    <w:rsid w:val="003B3090"/>
    <w:rsid w:val="003B5632"/>
    <w:rsid w:val="003C193E"/>
    <w:rsid w:val="003C517D"/>
    <w:rsid w:val="003C64AA"/>
    <w:rsid w:val="003C656B"/>
    <w:rsid w:val="003D0CAE"/>
    <w:rsid w:val="003D28CC"/>
    <w:rsid w:val="003D59BA"/>
    <w:rsid w:val="003D6CF7"/>
    <w:rsid w:val="003E079C"/>
    <w:rsid w:val="003E68AA"/>
    <w:rsid w:val="003F587F"/>
    <w:rsid w:val="003F693A"/>
    <w:rsid w:val="003F7EE7"/>
    <w:rsid w:val="0041072E"/>
    <w:rsid w:val="00414E24"/>
    <w:rsid w:val="00415F4F"/>
    <w:rsid w:val="00417167"/>
    <w:rsid w:val="00422E95"/>
    <w:rsid w:val="004264DC"/>
    <w:rsid w:val="00430B03"/>
    <w:rsid w:val="00433360"/>
    <w:rsid w:val="00433CCF"/>
    <w:rsid w:val="004349A8"/>
    <w:rsid w:val="00435DC9"/>
    <w:rsid w:val="004430F6"/>
    <w:rsid w:val="0044411B"/>
    <w:rsid w:val="0044453C"/>
    <w:rsid w:val="00444B1F"/>
    <w:rsid w:val="00452238"/>
    <w:rsid w:val="00453F45"/>
    <w:rsid w:val="0045543B"/>
    <w:rsid w:val="004565C4"/>
    <w:rsid w:val="00456F1E"/>
    <w:rsid w:val="00457D40"/>
    <w:rsid w:val="00460D18"/>
    <w:rsid w:val="00461745"/>
    <w:rsid w:val="00462BDB"/>
    <w:rsid w:val="0046391F"/>
    <w:rsid w:val="004658A1"/>
    <w:rsid w:val="0047108A"/>
    <w:rsid w:val="00473CFF"/>
    <w:rsid w:val="004744E0"/>
    <w:rsid w:val="0047543F"/>
    <w:rsid w:val="00476B27"/>
    <w:rsid w:val="004802C7"/>
    <w:rsid w:val="0048076D"/>
    <w:rsid w:val="00481913"/>
    <w:rsid w:val="00482989"/>
    <w:rsid w:val="004829DD"/>
    <w:rsid w:val="004832C2"/>
    <w:rsid w:val="0048351F"/>
    <w:rsid w:val="00485B13"/>
    <w:rsid w:val="00485D7A"/>
    <w:rsid w:val="00487353"/>
    <w:rsid w:val="00491F76"/>
    <w:rsid w:val="00494844"/>
    <w:rsid w:val="00495E0A"/>
    <w:rsid w:val="00496130"/>
    <w:rsid w:val="004969BE"/>
    <w:rsid w:val="00496A78"/>
    <w:rsid w:val="004A22B8"/>
    <w:rsid w:val="004A28DC"/>
    <w:rsid w:val="004A2927"/>
    <w:rsid w:val="004A4D2D"/>
    <w:rsid w:val="004B1740"/>
    <w:rsid w:val="004B1A8A"/>
    <w:rsid w:val="004B5CE4"/>
    <w:rsid w:val="004B6085"/>
    <w:rsid w:val="004C2FEB"/>
    <w:rsid w:val="004C441A"/>
    <w:rsid w:val="004C49C9"/>
    <w:rsid w:val="004C6231"/>
    <w:rsid w:val="004C70FB"/>
    <w:rsid w:val="004C7C24"/>
    <w:rsid w:val="004D43AB"/>
    <w:rsid w:val="004D5D57"/>
    <w:rsid w:val="004D7008"/>
    <w:rsid w:val="004D7E24"/>
    <w:rsid w:val="004E1A1E"/>
    <w:rsid w:val="004E2AED"/>
    <w:rsid w:val="004E3BEC"/>
    <w:rsid w:val="004E4550"/>
    <w:rsid w:val="004E6A26"/>
    <w:rsid w:val="004E6C9C"/>
    <w:rsid w:val="004F1BE5"/>
    <w:rsid w:val="004F1C42"/>
    <w:rsid w:val="004F39E5"/>
    <w:rsid w:val="004F4E59"/>
    <w:rsid w:val="004F5E76"/>
    <w:rsid w:val="00500084"/>
    <w:rsid w:val="00502DE6"/>
    <w:rsid w:val="00503500"/>
    <w:rsid w:val="00504F62"/>
    <w:rsid w:val="00513BFB"/>
    <w:rsid w:val="00513F2C"/>
    <w:rsid w:val="0051490F"/>
    <w:rsid w:val="00514B1B"/>
    <w:rsid w:val="00516A63"/>
    <w:rsid w:val="00517593"/>
    <w:rsid w:val="00522E0E"/>
    <w:rsid w:val="00523A90"/>
    <w:rsid w:val="00523CAA"/>
    <w:rsid w:val="00526D74"/>
    <w:rsid w:val="00527398"/>
    <w:rsid w:val="005309B5"/>
    <w:rsid w:val="00533AF8"/>
    <w:rsid w:val="005373FE"/>
    <w:rsid w:val="005416FB"/>
    <w:rsid w:val="005418AC"/>
    <w:rsid w:val="0054405F"/>
    <w:rsid w:val="0054504F"/>
    <w:rsid w:val="00545671"/>
    <w:rsid w:val="005461A0"/>
    <w:rsid w:val="005479B6"/>
    <w:rsid w:val="00553FE5"/>
    <w:rsid w:val="00554B6B"/>
    <w:rsid w:val="005567DA"/>
    <w:rsid w:val="0055714A"/>
    <w:rsid w:val="00564544"/>
    <w:rsid w:val="00566077"/>
    <w:rsid w:val="005708E6"/>
    <w:rsid w:val="00571FBE"/>
    <w:rsid w:val="005723D3"/>
    <w:rsid w:val="00572F09"/>
    <w:rsid w:val="0057317F"/>
    <w:rsid w:val="00573CBE"/>
    <w:rsid w:val="00574981"/>
    <w:rsid w:val="00575414"/>
    <w:rsid w:val="0057699C"/>
    <w:rsid w:val="00577609"/>
    <w:rsid w:val="00580309"/>
    <w:rsid w:val="00580BE8"/>
    <w:rsid w:val="00585EF4"/>
    <w:rsid w:val="00586686"/>
    <w:rsid w:val="00587770"/>
    <w:rsid w:val="00590302"/>
    <w:rsid w:val="00590A8F"/>
    <w:rsid w:val="00592E55"/>
    <w:rsid w:val="0059316A"/>
    <w:rsid w:val="0059677B"/>
    <w:rsid w:val="00597468"/>
    <w:rsid w:val="005A43C1"/>
    <w:rsid w:val="005A5FB7"/>
    <w:rsid w:val="005A7BA6"/>
    <w:rsid w:val="005B1C56"/>
    <w:rsid w:val="005B256A"/>
    <w:rsid w:val="005B66C3"/>
    <w:rsid w:val="005C4099"/>
    <w:rsid w:val="005C4347"/>
    <w:rsid w:val="005C51AD"/>
    <w:rsid w:val="005C6304"/>
    <w:rsid w:val="005D6AFC"/>
    <w:rsid w:val="005D78EE"/>
    <w:rsid w:val="005E4160"/>
    <w:rsid w:val="005E5A3F"/>
    <w:rsid w:val="005E6C30"/>
    <w:rsid w:val="005F1AB8"/>
    <w:rsid w:val="005F3029"/>
    <w:rsid w:val="005F30EC"/>
    <w:rsid w:val="005F36A3"/>
    <w:rsid w:val="0060100E"/>
    <w:rsid w:val="00605AE7"/>
    <w:rsid w:val="006062EB"/>
    <w:rsid w:val="00607A03"/>
    <w:rsid w:val="00611091"/>
    <w:rsid w:val="0061650F"/>
    <w:rsid w:val="0062463C"/>
    <w:rsid w:val="006247E2"/>
    <w:rsid w:val="00626026"/>
    <w:rsid w:val="00626ED6"/>
    <w:rsid w:val="00631792"/>
    <w:rsid w:val="00635355"/>
    <w:rsid w:val="0063656B"/>
    <w:rsid w:val="00641681"/>
    <w:rsid w:val="00641D1F"/>
    <w:rsid w:val="00643E6B"/>
    <w:rsid w:val="00644761"/>
    <w:rsid w:val="00644CAE"/>
    <w:rsid w:val="006511BB"/>
    <w:rsid w:val="00652555"/>
    <w:rsid w:val="00655125"/>
    <w:rsid w:val="00656F4A"/>
    <w:rsid w:val="00657E03"/>
    <w:rsid w:val="006604F9"/>
    <w:rsid w:val="0066325E"/>
    <w:rsid w:val="00665601"/>
    <w:rsid w:val="006671A6"/>
    <w:rsid w:val="00667AF0"/>
    <w:rsid w:val="00671471"/>
    <w:rsid w:val="00671CCB"/>
    <w:rsid w:val="00672D87"/>
    <w:rsid w:val="00673813"/>
    <w:rsid w:val="006741B2"/>
    <w:rsid w:val="00675A9F"/>
    <w:rsid w:val="006769B3"/>
    <w:rsid w:val="00676B9B"/>
    <w:rsid w:val="00681BCB"/>
    <w:rsid w:val="00683109"/>
    <w:rsid w:val="00684C72"/>
    <w:rsid w:val="00685418"/>
    <w:rsid w:val="00686864"/>
    <w:rsid w:val="006906A6"/>
    <w:rsid w:val="00691F9D"/>
    <w:rsid w:val="00693148"/>
    <w:rsid w:val="006940D4"/>
    <w:rsid w:val="00695326"/>
    <w:rsid w:val="006A0D9C"/>
    <w:rsid w:val="006A19FC"/>
    <w:rsid w:val="006A282E"/>
    <w:rsid w:val="006A76DE"/>
    <w:rsid w:val="006A7A60"/>
    <w:rsid w:val="006B0242"/>
    <w:rsid w:val="006B1206"/>
    <w:rsid w:val="006B1BA6"/>
    <w:rsid w:val="006B573D"/>
    <w:rsid w:val="006B5F60"/>
    <w:rsid w:val="006B7373"/>
    <w:rsid w:val="006C43CB"/>
    <w:rsid w:val="006D0551"/>
    <w:rsid w:val="006D1AEB"/>
    <w:rsid w:val="006D63FD"/>
    <w:rsid w:val="006E4ABA"/>
    <w:rsid w:val="006E4B6A"/>
    <w:rsid w:val="006E6060"/>
    <w:rsid w:val="006E6B2B"/>
    <w:rsid w:val="006E7201"/>
    <w:rsid w:val="006E7AC8"/>
    <w:rsid w:val="006F3ECE"/>
    <w:rsid w:val="006F6152"/>
    <w:rsid w:val="006F6840"/>
    <w:rsid w:val="006F749A"/>
    <w:rsid w:val="006F7E4E"/>
    <w:rsid w:val="007015B5"/>
    <w:rsid w:val="007024E3"/>
    <w:rsid w:val="00702E11"/>
    <w:rsid w:val="007067D1"/>
    <w:rsid w:val="00706C89"/>
    <w:rsid w:val="007073E2"/>
    <w:rsid w:val="007111E5"/>
    <w:rsid w:val="0071427F"/>
    <w:rsid w:val="00716B6B"/>
    <w:rsid w:val="00716FD6"/>
    <w:rsid w:val="00723434"/>
    <w:rsid w:val="00726043"/>
    <w:rsid w:val="00726318"/>
    <w:rsid w:val="00732213"/>
    <w:rsid w:val="00734354"/>
    <w:rsid w:val="0073486F"/>
    <w:rsid w:val="00737683"/>
    <w:rsid w:val="00740388"/>
    <w:rsid w:val="00740520"/>
    <w:rsid w:val="00742739"/>
    <w:rsid w:val="00742AA4"/>
    <w:rsid w:val="0074373F"/>
    <w:rsid w:val="00744A6E"/>
    <w:rsid w:val="00744D36"/>
    <w:rsid w:val="0074552B"/>
    <w:rsid w:val="007456E3"/>
    <w:rsid w:val="00745716"/>
    <w:rsid w:val="00746598"/>
    <w:rsid w:val="00753FD9"/>
    <w:rsid w:val="007541FC"/>
    <w:rsid w:val="007545B2"/>
    <w:rsid w:val="007545DE"/>
    <w:rsid w:val="0075498A"/>
    <w:rsid w:val="00755B65"/>
    <w:rsid w:val="00755DE4"/>
    <w:rsid w:val="00756F93"/>
    <w:rsid w:val="00757E07"/>
    <w:rsid w:val="00760B46"/>
    <w:rsid w:val="00761DB9"/>
    <w:rsid w:val="007629B5"/>
    <w:rsid w:val="0076472B"/>
    <w:rsid w:val="00765BE7"/>
    <w:rsid w:val="00770DB9"/>
    <w:rsid w:val="00772A1E"/>
    <w:rsid w:val="00781DC7"/>
    <w:rsid w:val="007837C1"/>
    <w:rsid w:val="00783E70"/>
    <w:rsid w:val="00785A1B"/>
    <w:rsid w:val="00785F03"/>
    <w:rsid w:val="00786187"/>
    <w:rsid w:val="00787C06"/>
    <w:rsid w:val="00791481"/>
    <w:rsid w:val="00793922"/>
    <w:rsid w:val="007970F4"/>
    <w:rsid w:val="00797E69"/>
    <w:rsid w:val="007A0E75"/>
    <w:rsid w:val="007A0EC6"/>
    <w:rsid w:val="007A3375"/>
    <w:rsid w:val="007A3490"/>
    <w:rsid w:val="007A3930"/>
    <w:rsid w:val="007A3A60"/>
    <w:rsid w:val="007B63C7"/>
    <w:rsid w:val="007C42FF"/>
    <w:rsid w:val="007C634A"/>
    <w:rsid w:val="007D0543"/>
    <w:rsid w:val="007E3442"/>
    <w:rsid w:val="007F02E2"/>
    <w:rsid w:val="007F14C4"/>
    <w:rsid w:val="007F2CBD"/>
    <w:rsid w:val="007F4D3D"/>
    <w:rsid w:val="007F51CB"/>
    <w:rsid w:val="007F6731"/>
    <w:rsid w:val="007F67D4"/>
    <w:rsid w:val="008019C6"/>
    <w:rsid w:val="00802A9B"/>
    <w:rsid w:val="00803A2E"/>
    <w:rsid w:val="00804C22"/>
    <w:rsid w:val="0080524D"/>
    <w:rsid w:val="00807AEF"/>
    <w:rsid w:val="008153AA"/>
    <w:rsid w:val="0081692A"/>
    <w:rsid w:val="00817ACC"/>
    <w:rsid w:val="008202B4"/>
    <w:rsid w:val="0082054E"/>
    <w:rsid w:val="008221B7"/>
    <w:rsid w:val="008239DA"/>
    <w:rsid w:val="00824711"/>
    <w:rsid w:val="008252A1"/>
    <w:rsid w:val="008300F7"/>
    <w:rsid w:val="008302B0"/>
    <w:rsid w:val="00830C4E"/>
    <w:rsid w:val="0083244F"/>
    <w:rsid w:val="00832F9B"/>
    <w:rsid w:val="00833E94"/>
    <w:rsid w:val="008358BB"/>
    <w:rsid w:val="008417B3"/>
    <w:rsid w:val="00841B5F"/>
    <w:rsid w:val="00842C51"/>
    <w:rsid w:val="00851A49"/>
    <w:rsid w:val="00856A55"/>
    <w:rsid w:val="00856EEA"/>
    <w:rsid w:val="00857623"/>
    <w:rsid w:val="008638F8"/>
    <w:rsid w:val="00864A72"/>
    <w:rsid w:val="0086553B"/>
    <w:rsid w:val="00866E2C"/>
    <w:rsid w:val="00867FB2"/>
    <w:rsid w:val="008704A7"/>
    <w:rsid w:val="008713FD"/>
    <w:rsid w:val="008722BF"/>
    <w:rsid w:val="00872EEB"/>
    <w:rsid w:val="00873023"/>
    <w:rsid w:val="00873614"/>
    <w:rsid w:val="0088069B"/>
    <w:rsid w:val="00880DD7"/>
    <w:rsid w:val="00881FC6"/>
    <w:rsid w:val="008840E6"/>
    <w:rsid w:val="0088450F"/>
    <w:rsid w:val="008906E3"/>
    <w:rsid w:val="00893BFC"/>
    <w:rsid w:val="00894B8C"/>
    <w:rsid w:val="00896FB2"/>
    <w:rsid w:val="008976FB"/>
    <w:rsid w:val="00897A7C"/>
    <w:rsid w:val="008A6DF8"/>
    <w:rsid w:val="008A6E5D"/>
    <w:rsid w:val="008A73AC"/>
    <w:rsid w:val="008A7EAA"/>
    <w:rsid w:val="008B0063"/>
    <w:rsid w:val="008B1A2F"/>
    <w:rsid w:val="008B267E"/>
    <w:rsid w:val="008B54C5"/>
    <w:rsid w:val="008C19D4"/>
    <w:rsid w:val="008C37E1"/>
    <w:rsid w:val="008C4637"/>
    <w:rsid w:val="008C5A53"/>
    <w:rsid w:val="008D467C"/>
    <w:rsid w:val="008D59E3"/>
    <w:rsid w:val="008D6BC9"/>
    <w:rsid w:val="008D70D0"/>
    <w:rsid w:val="008D7B46"/>
    <w:rsid w:val="008E0D7A"/>
    <w:rsid w:val="008E18B7"/>
    <w:rsid w:val="008E2E60"/>
    <w:rsid w:val="008E4835"/>
    <w:rsid w:val="008E5F1D"/>
    <w:rsid w:val="008F034A"/>
    <w:rsid w:val="008F1716"/>
    <w:rsid w:val="008F2A8A"/>
    <w:rsid w:val="008F4216"/>
    <w:rsid w:val="009003BB"/>
    <w:rsid w:val="00904E4A"/>
    <w:rsid w:val="00904ECC"/>
    <w:rsid w:val="00905149"/>
    <w:rsid w:val="009058E6"/>
    <w:rsid w:val="00907763"/>
    <w:rsid w:val="009145FE"/>
    <w:rsid w:val="0091659B"/>
    <w:rsid w:val="00916794"/>
    <w:rsid w:val="00917FDB"/>
    <w:rsid w:val="00922716"/>
    <w:rsid w:val="00923C4C"/>
    <w:rsid w:val="00924B55"/>
    <w:rsid w:val="00924C3A"/>
    <w:rsid w:val="00925457"/>
    <w:rsid w:val="00930189"/>
    <w:rsid w:val="00931D67"/>
    <w:rsid w:val="00941114"/>
    <w:rsid w:val="00945B5A"/>
    <w:rsid w:val="009512C3"/>
    <w:rsid w:val="00951A54"/>
    <w:rsid w:val="009522FD"/>
    <w:rsid w:val="00953188"/>
    <w:rsid w:val="00964BC2"/>
    <w:rsid w:val="00965E7D"/>
    <w:rsid w:val="00967AFC"/>
    <w:rsid w:val="00970CFA"/>
    <w:rsid w:val="0097157C"/>
    <w:rsid w:val="00971775"/>
    <w:rsid w:val="0097321D"/>
    <w:rsid w:val="009734F6"/>
    <w:rsid w:val="00973CA7"/>
    <w:rsid w:val="00975383"/>
    <w:rsid w:val="009778B4"/>
    <w:rsid w:val="00980E43"/>
    <w:rsid w:val="009819C8"/>
    <w:rsid w:val="00983A7B"/>
    <w:rsid w:val="00985555"/>
    <w:rsid w:val="00985C12"/>
    <w:rsid w:val="0098638B"/>
    <w:rsid w:val="009870FC"/>
    <w:rsid w:val="0099017A"/>
    <w:rsid w:val="00991361"/>
    <w:rsid w:val="00992C1B"/>
    <w:rsid w:val="00993594"/>
    <w:rsid w:val="00993668"/>
    <w:rsid w:val="00994782"/>
    <w:rsid w:val="00997D7C"/>
    <w:rsid w:val="009A0752"/>
    <w:rsid w:val="009A2CC1"/>
    <w:rsid w:val="009A4FDE"/>
    <w:rsid w:val="009A5B00"/>
    <w:rsid w:val="009A6EE6"/>
    <w:rsid w:val="009B56EC"/>
    <w:rsid w:val="009B6848"/>
    <w:rsid w:val="009B693A"/>
    <w:rsid w:val="009B71A3"/>
    <w:rsid w:val="009C1A51"/>
    <w:rsid w:val="009C35C2"/>
    <w:rsid w:val="009C392F"/>
    <w:rsid w:val="009C73D2"/>
    <w:rsid w:val="009C7BC5"/>
    <w:rsid w:val="009D11F9"/>
    <w:rsid w:val="009D286F"/>
    <w:rsid w:val="009D29BD"/>
    <w:rsid w:val="009D315D"/>
    <w:rsid w:val="009D523C"/>
    <w:rsid w:val="009D59A9"/>
    <w:rsid w:val="009D606D"/>
    <w:rsid w:val="009E55AE"/>
    <w:rsid w:val="009E657F"/>
    <w:rsid w:val="009E6C01"/>
    <w:rsid w:val="009F4284"/>
    <w:rsid w:val="009F4E86"/>
    <w:rsid w:val="009F5898"/>
    <w:rsid w:val="009F5F39"/>
    <w:rsid w:val="00A025BC"/>
    <w:rsid w:val="00A0319E"/>
    <w:rsid w:val="00A03785"/>
    <w:rsid w:val="00A03C57"/>
    <w:rsid w:val="00A0471C"/>
    <w:rsid w:val="00A0494B"/>
    <w:rsid w:val="00A05F77"/>
    <w:rsid w:val="00A06DA0"/>
    <w:rsid w:val="00A11B1B"/>
    <w:rsid w:val="00A14299"/>
    <w:rsid w:val="00A1620D"/>
    <w:rsid w:val="00A206F1"/>
    <w:rsid w:val="00A22128"/>
    <w:rsid w:val="00A221FA"/>
    <w:rsid w:val="00A226BC"/>
    <w:rsid w:val="00A22B79"/>
    <w:rsid w:val="00A23360"/>
    <w:rsid w:val="00A25C0D"/>
    <w:rsid w:val="00A32819"/>
    <w:rsid w:val="00A32C40"/>
    <w:rsid w:val="00A345C6"/>
    <w:rsid w:val="00A372F8"/>
    <w:rsid w:val="00A40335"/>
    <w:rsid w:val="00A405F0"/>
    <w:rsid w:val="00A4076D"/>
    <w:rsid w:val="00A41D19"/>
    <w:rsid w:val="00A41E51"/>
    <w:rsid w:val="00A42CEC"/>
    <w:rsid w:val="00A448BD"/>
    <w:rsid w:val="00A46692"/>
    <w:rsid w:val="00A46D6E"/>
    <w:rsid w:val="00A472CE"/>
    <w:rsid w:val="00A47A01"/>
    <w:rsid w:val="00A47E0F"/>
    <w:rsid w:val="00A56441"/>
    <w:rsid w:val="00A5664B"/>
    <w:rsid w:val="00A56A6F"/>
    <w:rsid w:val="00A60895"/>
    <w:rsid w:val="00A62995"/>
    <w:rsid w:val="00A62A34"/>
    <w:rsid w:val="00A62A6A"/>
    <w:rsid w:val="00A63384"/>
    <w:rsid w:val="00A64C94"/>
    <w:rsid w:val="00A7067A"/>
    <w:rsid w:val="00A74E74"/>
    <w:rsid w:val="00A77072"/>
    <w:rsid w:val="00A77CBA"/>
    <w:rsid w:val="00A81BF3"/>
    <w:rsid w:val="00A8485F"/>
    <w:rsid w:val="00A853D8"/>
    <w:rsid w:val="00A86A24"/>
    <w:rsid w:val="00A91230"/>
    <w:rsid w:val="00A92C1F"/>
    <w:rsid w:val="00A93600"/>
    <w:rsid w:val="00A94551"/>
    <w:rsid w:val="00AA02D5"/>
    <w:rsid w:val="00AA13C0"/>
    <w:rsid w:val="00AA21BF"/>
    <w:rsid w:val="00AA33B2"/>
    <w:rsid w:val="00AA70C6"/>
    <w:rsid w:val="00AB1F4D"/>
    <w:rsid w:val="00AB28B8"/>
    <w:rsid w:val="00AB3A50"/>
    <w:rsid w:val="00AB44F2"/>
    <w:rsid w:val="00AB6053"/>
    <w:rsid w:val="00AB735E"/>
    <w:rsid w:val="00AB7A22"/>
    <w:rsid w:val="00AC2835"/>
    <w:rsid w:val="00AC2E0A"/>
    <w:rsid w:val="00AC402B"/>
    <w:rsid w:val="00AC4090"/>
    <w:rsid w:val="00AC54D6"/>
    <w:rsid w:val="00AC5837"/>
    <w:rsid w:val="00AE2768"/>
    <w:rsid w:val="00AE2FEC"/>
    <w:rsid w:val="00AE452D"/>
    <w:rsid w:val="00AE5EE3"/>
    <w:rsid w:val="00AE7CF7"/>
    <w:rsid w:val="00AF0632"/>
    <w:rsid w:val="00AF109C"/>
    <w:rsid w:val="00AF10B1"/>
    <w:rsid w:val="00AF3740"/>
    <w:rsid w:val="00AF59A2"/>
    <w:rsid w:val="00AF5AD7"/>
    <w:rsid w:val="00B0369A"/>
    <w:rsid w:val="00B17162"/>
    <w:rsid w:val="00B22CB0"/>
    <w:rsid w:val="00B2546A"/>
    <w:rsid w:val="00B26E6A"/>
    <w:rsid w:val="00B2741A"/>
    <w:rsid w:val="00B30F14"/>
    <w:rsid w:val="00B33018"/>
    <w:rsid w:val="00B33A60"/>
    <w:rsid w:val="00B33DD8"/>
    <w:rsid w:val="00B34F65"/>
    <w:rsid w:val="00B40BCB"/>
    <w:rsid w:val="00B40CDD"/>
    <w:rsid w:val="00B44930"/>
    <w:rsid w:val="00B465C5"/>
    <w:rsid w:val="00B46A99"/>
    <w:rsid w:val="00B500CA"/>
    <w:rsid w:val="00B514F2"/>
    <w:rsid w:val="00B522DC"/>
    <w:rsid w:val="00B62844"/>
    <w:rsid w:val="00B64274"/>
    <w:rsid w:val="00B658E7"/>
    <w:rsid w:val="00B65A1D"/>
    <w:rsid w:val="00B66C62"/>
    <w:rsid w:val="00B6709C"/>
    <w:rsid w:val="00B67176"/>
    <w:rsid w:val="00B70374"/>
    <w:rsid w:val="00B72873"/>
    <w:rsid w:val="00B729E0"/>
    <w:rsid w:val="00B7412D"/>
    <w:rsid w:val="00B741F8"/>
    <w:rsid w:val="00B74C3E"/>
    <w:rsid w:val="00B84B8B"/>
    <w:rsid w:val="00B91EA0"/>
    <w:rsid w:val="00B9328E"/>
    <w:rsid w:val="00B932CB"/>
    <w:rsid w:val="00B9737A"/>
    <w:rsid w:val="00BA0D12"/>
    <w:rsid w:val="00BA1E99"/>
    <w:rsid w:val="00BA22F6"/>
    <w:rsid w:val="00BA37DC"/>
    <w:rsid w:val="00BA3ADD"/>
    <w:rsid w:val="00BA418F"/>
    <w:rsid w:val="00BA5332"/>
    <w:rsid w:val="00BB073D"/>
    <w:rsid w:val="00BB339C"/>
    <w:rsid w:val="00BC1788"/>
    <w:rsid w:val="00BC3E2E"/>
    <w:rsid w:val="00BC613C"/>
    <w:rsid w:val="00BD04F1"/>
    <w:rsid w:val="00BD0BC3"/>
    <w:rsid w:val="00BD2801"/>
    <w:rsid w:val="00BD53CF"/>
    <w:rsid w:val="00BD594E"/>
    <w:rsid w:val="00BD6728"/>
    <w:rsid w:val="00BD72D1"/>
    <w:rsid w:val="00BE4C88"/>
    <w:rsid w:val="00BF2B7B"/>
    <w:rsid w:val="00BF2D2E"/>
    <w:rsid w:val="00C02BC4"/>
    <w:rsid w:val="00C043A5"/>
    <w:rsid w:val="00C06686"/>
    <w:rsid w:val="00C06749"/>
    <w:rsid w:val="00C0782B"/>
    <w:rsid w:val="00C07FE5"/>
    <w:rsid w:val="00C10F2A"/>
    <w:rsid w:val="00C11350"/>
    <w:rsid w:val="00C11FF4"/>
    <w:rsid w:val="00C12A1D"/>
    <w:rsid w:val="00C13F09"/>
    <w:rsid w:val="00C1404E"/>
    <w:rsid w:val="00C17B5E"/>
    <w:rsid w:val="00C20421"/>
    <w:rsid w:val="00C21570"/>
    <w:rsid w:val="00C21599"/>
    <w:rsid w:val="00C22656"/>
    <w:rsid w:val="00C227FD"/>
    <w:rsid w:val="00C232DD"/>
    <w:rsid w:val="00C25230"/>
    <w:rsid w:val="00C25AFF"/>
    <w:rsid w:val="00C2704B"/>
    <w:rsid w:val="00C36C83"/>
    <w:rsid w:val="00C36EBB"/>
    <w:rsid w:val="00C36F58"/>
    <w:rsid w:val="00C426D9"/>
    <w:rsid w:val="00C446AD"/>
    <w:rsid w:val="00C479AC"/>
    <w:rsid w:val="00C47B59"/>
    <w:rsid w:val="00C47CDF"/>
    <w:rsid w:val="00C52167"/>
    <w:rsid w:val="00C53412"/>
    <w:rsid w:val="00C60826"/>
    <w:rsid w:val="00C60FC4"/>
    <w:rsid w:val="00C619DC"/>
    <w:rsid w:val="00C61CCA"/>
    <w:rsid w:val="00C6325B"/>
    <w:rsid w:val="00C633D7"/>
    <w:rsid w:val="00C65803"/>
    <w:rsid w:val="00C66625"/>
    <w:rsid w:val="00C70302"/>
    <w:rsid w:val="00C730F8"/>
    <w:rsid w:val="00C73F78"/>
    <w:rsid w:val="00C76862"/>
    <w:rsid w:val="00C76CA2"/>
    <w:rsid w:val="00C808F5"/>
    <w:rsid w:val="00C82CFB"/>
    <w:rsid w:val="00C83F7E"/>
    <w:rsid w:val="00C84351"/>
    <w:rsid w:val="00C84B63"/>
    <w:rsid w:val="00C91E19"/>
    <w:rsid w:val="00C93500"/>
    <w:rsid w:val="00C937C5"/>
    <w:rsid w:val="00C945CD"/>
    <w:rsid w:val="00C94E0B"/>
    <w:rsid w:val="00C95B60"/>
    <w:rsid w:val="00C9717A"/>
    <w:rsid w:val="00C97D03"/>
    <w:rsid w:val="00CA35BB"/>
    <w:rsid w:val="00CA79C6"/>
    <w:rsid w:val="00CB09D1"/>
    <w:rsid w:val="00CB1B9F"/>
    <w:rsid w:val="00CB3824"/>
    <w:rsid w:val="00CB389B"/>
    <w:rsid w:val="00CB3948"/>
    <w:rsid w:val="00CB3AB3"/>
    <w:rsid w:val="00CB54D1"/>
    <w:rsid w:val="00CC10E9"/>
    <w:rsid w:val="00CC1153"/>
    <w:rsid w:val="00CC298E"/>
    <w:rsid w:val="00CC4E0E"/>
    <w:rsid w:val="00CC5FD5"/>
    <w:rsid w:val="00CD0A99"/>
    <w:rsid w:val="00CD1F01"/>
    <w:rsid w:val="00CD4705"/>
    <w:rsid w:val="00CD47D0"/>
    <w:rsid w:val="00CD4C06"/>
    <w:rsid w:val="00CD5663"/>
    <w:rsid w:val="00CD6F1C"/>
    <w:rsid w:val="00CD768D"/>
    <w:rsid w:val="00CD7FC2"/>
    <w:rsid w:val="00CE20B7"/>
    <w:rsid w:val="00CE3628"/>
    <w:rsid w:val="00CE3AE3"/>
    <w:rsid w:val="00CE3FB7"/>
    <w:rsid w:val="00CF113B"/>
    <w:rsid w:val="00CF2764"/>
    <w:rsid w:val="00CF2958"/>
    <w:rsid w:val="00CF4671"/>
    <w:rsid w:val="00D02CCD"/>
    <w:rsid w:val="00D02EF7"/>
    <w:rsid w:val="00D0472B"/>
    <w:rsid w:val="00D04F9A"/>
    <w:rsid w:val="00D0520F"/>
    <w:rsid w:val="00D113DB"/>
    <w:rsid w:val="00D1197D"/>
    <w:rsid w:val="00D12CE7"/>
    <w:rsid w:val="00D130A3"/>
    <w:rsid w:val="00D132CB"/>
    <w:rsid w:val="00D14B98"/>
    <w:rsid w:val="00D17099"/>
    <w:rsid w:val="00D21460"/>
    <w:rsid w:val="00D21FEC"/>
    <w:rsid w:val="00D22920"/>
    <w:rsid w:val="00D2357D"/>
    <w:rsid w:val="00D313A6"/>
    <w:rsid w:val="00D32490"/>
    <w:rsid w:val="00D40352"/>
    <w:rsid w:val="00D4373F"/>
    <w:rsid w:val="00D43C4A"/>
    <w:rsid w:val="00D45835"/>
    <w:rsid w:val="00D4710E"/>
    <w:rsid w:val="00D47316"/>
    <w:rsid w:val="00D50428"/>
    <w:rsid w:val="00D50824"/>
    <w:rsid w:val="00D542F4"/>
    <w:rsid w:val="00D56181"/>
    <w:rsid w:val="00D60FAB"/>
    <w:rsid w:val="00D62688"/>
    <w:rsid w:val="00D63F8B"/>
    <w:rsid w:val="00D6482A"/>
    <w:rsid w:val="00D64C39"/>
    <w:rsid w:val="00D65D07"/>
    <w:rsid w:val="00D73A35"/>
    <w:rsid w:val="00D809DE"/>
    <w:rsid w:val="00D82104"/>
    <w:rsid w:val="00D833CA"/>
    <w:rsid w:val="00D85A35"/>
    <w:rsid w:val="00D90E9F"/>
    <w:rsid w:val="00D92B02"/>
    <w:rsid w:val="00D93A86"/>
    <w:rsid w:val="00D94C27"/>
    <w:rsid w:val="00D95D90"/>
    <w:rsid w:val="00D966D3"/>
    <w:rsid w:val="00D97B27"/>
    <w:rsid w:val="00DA1032"/>
    <w:rsid w:val="00DA20A5"/>
    <w:rsid w:val="00DA2D9F"/>
    <w:rsid w:val="00DA3455"/>
    <w:rsid w:val="00DA3803"/>
    <w:rsid w:val="00DA5E00"/>
    <w:rsid w:val="00DA5EA2"/>
    <w:rsid w:val="00DB0615"/>
    <w:rsid w:val="00DB1903"/>
    <w:rsid w:val="00DB1F1C"/>
    <w:rsid w:val="00DB2561"/>
    <w:rsid w:val="00DB35A5"/>
    <w:rsid w:val="00DB4B61"/>
    <w:rsid w:val="00DB55F3"/>
    <w:rsid w:val="00DC2B83"/>
    <w:rsid w:val="00DC323D"/>
    <w:rsid w:val="00DD7BAB"/>
    <w:rsid w:val="00DE0CDB"/>
    <w:rsid w:val="00DE17CB"/>
    <w:rsid w:val="00DE57EE"/>
    <w:rsid w:val="00DF025E"/>
    <w:rsid w:val="00DF1B66"/>
    <w:rsid w:val="00DF34B4"/>
    <w:rsid w:val="00DF412C"/>
    <w:rsid w:val="00DF60A6"/>
    <w:rsid w:val="00DF6658"/>
    <w:rsid w:val="00DF79A9"/>
    <w:rsid w:val="00DF7EB0"/>
    <w:rsid w:val="00E001C9"/>
    <w:rsid w:val="00E0172F"/>
    <w:rsid w:val="00E058DB"/>
    <w:rsid w:val="00E05E80"/>
    <w:rsid w:val="00E07C63"/>
    <w:rsid w:val="00E11100"/>
    <w:rsid w:val="00E12C98"/>
    <w:rsid w:val="00E12FB5"/>
    <w:rsid w:val="00E1416B"/>
    <w:rsid w:val="00E14858"/>
    <w:rsid w:val="00E173F2"/>
    <w:rsid w:val="00E17A57"/>
    <w:rsid w:val="00E21928"/>
    <w:rsid w:val="00E22734"/>
    <w:rsid w:val="00E253CF"/>
    <w:rsid w:val="00E26FFD"/>
    <w:rsid w:val="00E271CA"/>
    <w:rsid w:val="00E312CA"/>
    <w:rsid w:val="00E32241"/>
    <w:rsid w:val="00E349F5"/>
    <w:rsid w:val="00E34DCF"/>
    <w:rsid w:val="00E468B7"/>
    <w:rsid w:val="00E46E47"/>
    <w:rsid w:val="00E517B8"/>
    <w:rsid w:val="00E529FF"/>
    <w:rsid w:val="00E53524"/>
    <w:rsid w:val="00E54593"/>
    <w:rsid w:val="00E56447"/>
    <w:rsid w:val="00E60A64"/>
    <w:rsid w:val="00E61966"/>
    <w:rsid w:val="00E63739"/>
    <w:rsid w:val="00E63A1F"/>
    <w:rsid w:val="00E6460B"/>
    <w:rsid w:val="00E67791"/>
    <w:rsid w:val="00E72834"/>
    <w:rsid w:val="00E83AF1"/>
    <w:rsid w:val="00E904F5"/>
    <w:rsid w:val="00E90BE7"/>
    <w:rsid w:val="00E9208C"/>
    <w:rsid w:val="00E93510"/>
    <w:rsid w:val="00E93DE1"/>
    <w:rsid w:val="00E94A2D"/>
    <w:rsid w:val="00E95ECF"/>
    <w:rsid w:val="00E960FB"/>
    <w:rsid w:val="00E96239"/>
    <w:rsid w:val="00E97B9F"/>
    <w:rsid w:val="00EA1534"/>
    <w:rsid w:val="00EA216C"/>
    <w:rsid w:val="00EA3D0A"/>
    <w:rsid w:val="00EA414C"/>
    <w:rsid w:val="00EA438F"/>
    <w:rsid w:val="00EA5A03"/>
    <w:rsid w:val="00EB21F3"/>
    <w:rsid w:val="00EB2E15"/>
    <w:rsid w:val="00EB47E1"/>
    <w:rsid w:val="00EB5004"/>
    <w:rsid w:val="00EB5031"/>
    <w:rsid w:val="00EB6B1A"/>
    <w:rsid w:val="00EB6D4F"/>
    <w:rsid w:val="00EC4C97"/>
    <w:rsid w:val="00EC4D2D"/>
    <w:rsid w:val="00ED3C98"/>
    <w:rsid w:val="00EE1001"/>
    <w:rsid w:val="00EE5CAF"/>
    <w:rsid w:val="00EE6253"/>
    <w:rsid w:val="00EE64AA"/>
    <w:rsid w:val="00EF0289"/>
    <w:rsid w:val="00EF2287"/>
    <w:rsid w:val="00EF2C69"/>
    <w:rsid w:val="00EF34EA"/>
    <w:rsid w:val="00EF39D0"/>
    <w:rsid w:val="00EF4471"/>
    <w:rsid w:val="00EF6761"/>
    <w:rsid w:val="00F00BAC"/>
    <w:rsid w:val="00F037E4"/>
    <w:rsid w:val="00F0392C"/>
    <w:rsid w:val="00F04509"/>
    <w:rsid w:val="00F06093"/>
    <w:rsid w:val="00F102D8"/>
    <w:rsid w:val="00F114E9"/>
    <w:rsid w:val="00F13447"/>
    <w:rsid w:val="00F159A7"/>
    <w:rsid w:val="00F17E31"/>
    <w:rsid w:val="00F23067"/>
    <w:rsid w:val="00F23B75"/>
    <w:rsid w:val="00F2461F"/>
    <w:rsid w:val="00F27152"/>
    <w:rsid w:val="00F271F8"/>
    <w:rsid w:val="00F2783E"/>
    <w:rsid w:val="00F32513"/>
    <w:rsid w:val="00F32AB1"/>
    <w:rsid w:val="00F3305D"/>
    <w:rsid w:val="00F33A52"/>
    <w:rsid w:val="00F3519E"/>
    <w:rsid w:val="00F35BEB"/>
    <w:rsid w:val="00F367A8"/>
    <w:rsid w:val="00F41CE4"/>
    <w:rsid w:val="00F42DB3"/>
    <w:rsid w:val="00F435CC"/>
    <w:rsid w:val="00F6141B"/>
    <w:rsid w:val="00F618F6"/>
    <w:rsid w:val="00F63E80"/>
    <w:rsid w:val="00F7162D"/>
    <w:rsid w:val="00F73717"/>
    <w:rsid w:val="00F744EA"/>
    <w:rsid w:val="00F80E3F"/>
    <w:rsid w:val="00F82976"/>
    <w:rsid w:val="00F836CC"/>
    <w:rsid w:val="00F85DA2"/>
    <w:rsid w:val="00F86009"/>
    <w:rsid w:val="00F86BEB"/>
    <w:rsid w:val="00F907CA"/>
    <w:rsid w:val="00F92B5E"/>
    <w:rsid w:val="00F96FCE"/>
    <w:rsid w:val="00FA05E4"/>
    <w:rsid w:val="00FA3D4E"/>
    <w:rsid w:val="00FA6307"/>
    <w:rsid w:val="00FA7AB4"/>
    <w:rsid w:val="00FB0C3E"/>
    <w:rsid w:val="00FB3ACE"/>
    <w:rsid w:val="00FB4122"/>
    <w:rsid w:val="00FB62E5"/>
    <w:rsid w:val="00FB7158"/>
    <w:rsid w:val="00FC1559"/>
    <w:rsid w:val="00FC35A4"/>
    <w:rsid w:val="00FC63A4"/>
    <w:rsid w:val="00FC66A5"/>
    <w:rsid w:val="00FD093E"/>
    <w:rsid w:val="00FD174D"/>
    <w:rsid w:val="00FD6D53"/>
    <w:rsid w:val="00FD7712"/>
    <w:rsid w:val="00FE21FC"/>
    <w:rsid w:val="00FE4260"/>
    <w:rsid w:val="00FE47B2"/>
    <w:rsid w:val="00FF171A"/>
    <w:rsid w:val="00FF2320"/>
    <w:rsid w:val="00FF280A"/>
    <w:rsid w:val="00FF51C7"/>
    <w:rsid w:val="00FF6030"/>
    <w:rsid w:val="00FF6C02"/>
    <w:rsid w:val="00FF6C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29F9FEC5"/>
  <w15:docId w15:val="{5D592C84-B74D-43B2-9114-4ED6C195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BC613C"/>
    <w:pPr>
      <w:spacing w:after="12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uiPriority w:val="99"/>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uiPriority w:val="99"/>
    <w:rsid w:val="006940D4"/>
    <w:pPr>
      <w:spacing w:before="60"/>
      <w:ind w:left="284" w:hanging="284"/>
    </w:pPr>
    <w:rPr>
      <w:sz w:val="18"/>
    </w:rPr>
  </w:style>
  <w:style w:type="paragraph" w:styleId="Header">
    <w:name w:val="header"/>
    <w:aliases w:val="~Header"/>
    <w:basedOn w:val="NoSpacing"/>
    <w:link w:val="HeaderChar"/>
    <w:rsid w:val="00EE64AA"/>
  </w:style>
  <w:style w:type="character" w:customStyle="1" w:styleId="HeaderChar">
    <w:name w:val="Header Char"/>
    <w:aliases w:val="~Header Char"/>
    <w:basedOn w:val="DefaultParagraphFont"/>
    <w:link w:val="Header"/>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
    <w:basedOn w:val="Normal"/>
    <w:link w:val="ListParagraphChar"/>
    <w:uiPriority w:val="34"/>
    <w:qFormat/>
    <w:rsid w:val="008713FD"/>
    <w:pPr>
      <w:spacing w:line="240" w:lineRule="auto"/>
      <w:ind w:left="720"/>
    </w:pPr>
    <w:rPr>
      <w:rFonts w:ascii="Arial" w:eastAsia="Times New Roman" w:hAnsi="Arial" w:cs="Times New Roman"/>
      <w:color w:val="auto"/>
      <w:sz w:val="22"/>
      <w:szCs w:val="22"/>
    </w:rPr>
  </w:style>
  <w:style w:type="paragraph" w:customStyle="1" w:styleId="Default">
    <w:name w:val="Default"/>
    <w:rsid w:val="008713FD"/>
    <w:pPr>
      <w:autoSpaceDE w:val="0"/>
      <w:autoSpaceDN w:val="0"/>
      <w:adjustRightInd w:val="0"/>
      <w:spacing w:after="0" w:line="240" w:lineRule="auto"/>
    </w:pPr>
    <w:rPr>
      <w:rFonts w:ascii="Arial" w:eastAsia="Times New Roman" w:hAnsi="Arial"/>
      <w:color w:val="000000"/>
      <w:sz w:val="24"/>
      <w:szCs w:val="24"/>
      <w:lang w:eastAsia="en-GB"/>
    </w:rPr>
  </w:style>
  <w:style w:type="character" w:styleId="Strong">
    <w:name w:val="Strong"/>
    <w:basedOn w:val="DefaultParagraphFont"/>
    <w:uiPriority w:val="22"/>
    <w:qFormat/>
    <w:rsid w:val="00CA79C6"/>
    <w:rPr>
      <w:b/>
      <w:bCs/>
    </w:rPr>
  </w:style>
  <w:style w:type="character" w:customStyle="1" w:styleId="apple-converted-space">
    <w:name w:val="apple-converted-space"/>
    <w:basedOn w:val="DefaultParagraphFont"/>
    <w:rsid w:val="00CA79C6"/>
  </w:style>
  <w:style w:type="paragraph" w:styleId="NormalWeb">
    <w:name w:val="Normal (Web)"/>
    <w:basedOn w:val="Normal"/>
    <w:uiPriority w:val="99"/>
    <w:unhideWhenUsed/>
    <w:rsid w:val="009F4E8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7">
    <w:name w:val="A7"/>
    <w:uiPriority w:val="99"/>
    <w:rsid w:val="00AB3A50"/>
    <w:rPr>
      <w:b/>
      <w:bCs/>
      <w:color w:val="000000"/>
    </w:rPr>
  </w:style>
  <w:style w:type="paragraph" w:customStyle="1" w:styleId="Pa1">
    <w:name w:val="Pa1"/>
    <w:basedOn w:val="Default"/>
    <w:next w:val="Default"/>
    <w:uiPriority w:val="99"/>
    <w:rsid w:val="00D85A35"/>
    <w:pPr>
      <w:spacing w:line="221" w:lineRule="atLeast"/>
    </w:pPr>
    <w:rPr>
      <w:rFonts w:eastAsiaTheme="minorHAnsi"/>
      <w:color w:val="000000" w:themeColor="text1"/>
      <w:lang w:eastAsia="en-US"/>
    </w:rPr>
  </w:style>
  <w:style w:type="character" w:customStyle="1" w:styleId="A6">
    <w:name w:val="A6"/>
    <w:uiPriority w:val="99"/>
    <w:rsid w:val="00D85A35"/>
    <w:rPr>
      <w:color w:val="000000"/>
      <w:sz w:val="12"/>
      <w:szCs w:val="12"/>
    </w:rPr>
  </w:style>
  <w:style w:type="character" w:customStyle="1" w:styleId="A4">
    <w:name w:val="A4"/>
    <w:uiPriority w:val="99"/>
    <w:rsid w:val="00D85A35"/>
    <w:rPr>
      <w:color w:val="000000"/>
      <w:sz w:val="12"/>
      <w:szCs w:val="12"/>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basedOn w:val="DefaultParagraphFont"/>
    <w:link w:val="ListParagraph"/>
    <w:uiPriority w:val="34"/>
    <w:qFormat/>
    <w:locked/>
    <w:rsid w:val="00CB3824"/>
    <w:rPr>
      <w:rFonts w:ascii="Arial" w:eastAsia="Times New Roman" w:hAnsi="Arial" w:cs="Times New Roman"/>
      <w:color w:val="auto"/>
      <w:sz w:val="22"/>
      <w:szCs w:val="22"/>
    </w:rPr>
  </w:style>
  <w:style w:type="character" w:styleId="UnresolvedMention">
    <w:name w:val="Unresolved Mention"/>
    <w:basedOn w:val="DefaultParagraphFont"/>
    <w:uiPriority w:val="99"/>
    <w:semiHidden/>
    <w:unhideWhenUsed/>
    <w:rsid w:val="00F367A8"/>
    <w:rPr>
      <w:color w:val="605E5C"/>
      <w:shd w:val="clear" w:color="auto" w:fill="E1DFDD"/>
    </w:rPr>
  </w:style>
  <w:style w:type="character" w:customStyle="1" w:styleId="FootnoteTextChar">
    <w:name w:val="Footnote Text Char"/>
    <w:aliases w:val="~FootnoteText Char"/>
    <w:basedOn w:val="DefaultParagraphFont"/>
    <w:link w:val="FootnoteText"/>
    <w:uiPriority w:val="99"/>
    <w:rsid w:val="007067D1"/>
    <w:rPr>
      <w:sz w:val="18"/>
    </w:rPr>
  </w:style>
  <w:style w:type="paragraph" w:styleId="EndnoteText">
    <w:name w:val="endnote text"/>
    <w:basedOn w:val="Normal"/>
    <w:link w:val="EndnoteTextChar"/>
    <w:uiPriority w:val="99"/>
    <w:unhideWhenUsed/>
    <w:rsid w:val="007067D1"/>
    <w:pPr>
      <w:spacing w:line="240" w:lineRule="auto"/>
    </w:pPr>
    <w:rPr>
      <w:rFonts w:cstheme="minorBidi"/>
      <w:color w:val="auto"/>
    </w:rPr>
  </w:style>
  <w:style w:type="character" w:customStyle="1" w:styleId="EndnoteTextChar">
    <w:name w:val="Endnote Text Char"/>
    <w:basedOn w:val="DefaultParagraphFont"/>
    <w:link w:val="EndnoteText"/>
    <w:uiPriority w:val="99"/>
    <w:rsid w:val="007067D1"/>
    <w:rPr>
      <w:rFonts w:cstheme="minorBidi"/>
      <w:color w:val="auto"/>
    </w:rPr>
  </w:style>
  <w:style w:type="character" w:styleId="EndnoteReference">
    <w:name w:val="endnote reference"/>
    <w:basedOn w:val="DefaultParagraphFont"/>
    <w:uiPriority w:val="99"/>
    <w:semiHidden/>
    <w:unhideWhenUsed/>
    <w:rsid w:val="00706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5268">
      <w:bodyDiv w:val="1"/>
      <w:marLeft w:val="0"/>
      <w:marRight w:val="0"/>
      <w:marTop w:val="0"/>
      <w:marBottom w:val="0"/>
      <w:divBdr>
        <w:top w:val="none" w:sz="0" w:space="0" w:color="auto"/>
        <w:left w:val="none" w:sz="0" w:space="0" w:color="auto"/>
        <w:bottom w:val="none" w:sz="0" w:space="0" w:color="auto"/>
        <w:right w:val="none" w:sz="0" w:space="0" w:color="auto"/>
      </w:divBdr>
    </w:div>
    <w:div w:id="54669219">
      <w:bodyDiv w:val="1"/>
      <w:marLeft w:val="0"/>
      <w:marRight w:val="0"/>
      <w:marTop w:val="0"/>
      <w:marBottom w:val="0"/>
      <w:divBdr>
        <w:top w:val="none" w:sz="0" w:space="0" w:color="auto"/>
        <w:left w:val="none" w:sz="0" w:space="0" w:color="auto"/>
        <w:bottom w:val="none" w:sz="0" w:space="0" w:color="auto"/>
        <w:right w:val="none" w:sz="0" w:space="0" w:color="auto"/>
      </w:divBdr>
    </w:div>
    <w:div w:id="92241708">
      <w:bodyDiv w:val="1"/>
      <w:marLeft w:val="0"/>
      <w:marRight w:val="0"/>
      <w:marTop w:val="0"/>
      <w:marBottom w:val="0"/>
      <w:divBdr>
        <w:top w:val="none" w:sz="0" w:space="0" w:color="auto"/>
        <w:left w:val="none" w:sz="0" w:space="0" w:color="auto"/>
        <w:bottom w:val="none" w:sz="0" w:space="0" w:color="auto"/>
        <w:right w:val="none" w:sz="0" w:space="0" w:color="auto"/>
      </w:divBdr>
    </w:div>
    <w:div w:id="138889115">
      <w:bodyDiv w:val="1"/>
      <w:marLeft w:val="0"/>
      <w:marRight w:val="0"/>
      <w:marTop w:val="0"/>
      <w:marBottom w:val="0"/>
      <w:divBdr>
        <w:top w:val="none" w:sz="0" w:space="0" w:color="auto"/>
        <w:left w:val="none" w:sz="0" w:space="0" w:color="auto"/>
        <w:bottom w:val="none" w:sz="0" w:space="0" w:color="auto"/>
        <w:right w:val="none" w:sz="0" w:space="0" w:color="auto"/>
      </w:divBdr>
    </w:div>
    <w:div w:id="176383938">
      <w:bodyDiv w:val="1"/>
      <w:marLeft w:val="0"/>
      <w:marRight w:val="0"/>
      <w:marTop w:val="0"/>
      <w:marBottom w:val="0"/>
      <w:divBdr>
        <w:top w:val="none" w:sz="0" w:space="0" w:color="auto"/>
        <w:left w:val="none" w:sz="0" w:space="0" w:color="auto"/>
        <w:bottom w:val="none" w:sz="0" w:space="0" w:color="auto"/>
        <w:right w:val="none" w:sz="0" w:space="0" w:color="auto"/>
      </w:divBdr>
    </w:div>
    <w:div w:id="243610612">
      <w:bodyDiv w:val="1"/>
      <w:marLeft w:val="0"/>
      <w:marRight w:val="0"/>
      <w:marTop w:val="0"/>
      <w:marBottom w:val="0"/>
      <w:divBdr>
        <w:top w:val="none" w:sz="0" w:space="0" w:color="auto"/>
        <w:left w:val="none" w:sz="0" w:space="0" w:color="auto"/>
        <w:bottom w:val="none" w:sz="0" w:space="0" w:color="auto"/>
        <w:right w:val="none" w:sz="0" w:space="0" w:color="auto"/>
      </w:divBdr>
    </w:div>
    <w:div w:id="273024633">
      <w:bodyDiv w:val="1"/>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none" w:sz="0" w:space="0" w:color="auto"/>
            <w:left w:val="none" w:sz="0" w:space="0" w:color="auto"/>
            <w:bottom w:val="none" w:sz="0" w:space="0" w:color="auto"/>
            <w:right w:val="none" w:sz="0" w:space="0" w:color="auto"/>
          </w:divBdr>
          <w:divsChild>
            <w:div w:id="722369008">
              <w:marLeft w:val="0"/>
              <w:marRight w:val="0"/>
              <w:marTop w:val="480"/>
              <w:marBottom w:val="480"/>
              <w:divBdr>
                <w:top w:val="none" w:sz="0" w:space="0" w:color="auto"/>
                <w:left w:val="single" w:sz="48" w:space="12" w:color="DEE0E2"/>
                <w:bottom w:val="none" w:sz="0" w:space="0" w:color="auto"/>
                <w:right w:val="none" w:sz="0" w:space="0" w:color="auto"/>
              </w:divBdr>
            </w:div>
            <w:div w:id="1610120579">
              <w:marLeft w:val="0"/>
              <w:marRight w:val="0"/>
              <w:marTop w:val="480"/>
              <w:marBottom w:val="480"/>
              <w:divBdr>
                <w:top w:val="none" w:sz="0" w:space="0" w:color="auto"/>
                <w:left w:val="single" w:sz="48" w:space="12" w:color="DEE0E2"/>
                <w:bottom w:val="none" w:sz="0" w:space="0" w:color="auto"/>
                <w:right w:val="none" w:sz="0" w:space="0" w:color="auto"/>
              </w:divBdr>
            </w:div>
          </w:divsChild>
        </w:div>
      </w:divsChild>
    </w:div>
    <w:div w:id="296110056">
      <w:bodyDiv w:val="1"/>
      <w:marLeft w:val="0"/>
      <w:marRight w:val="0"/>
      <w:marTop w:val="0"/>
      <w:marBottom w:val="0"/>
      <w:divBdr>
        <w:top w:val="none" w:sz="0" w:space="0" w:color="auto"/>
        <w:left w:val="none" w:sz="0" w:space="0" w:color="auto"/>
        <w:bottom w:val="none" w:sz="0" w:space="0" w:color="auto"/>
        <w:right w:val="none" w:sz="0" w:space="0" w:color="auto"/>
      </w:divBdr>
    </w:div>
    <w:div w:id="338238277">
      <w:bodyDiv w:val="1"/>
      <w:marLeft w:val="0"/>
      <w:marRight w:val="0"/>
      <w:marTop w:val="0"/>
      <w:marBottom w:val="0"/>
      <w:divBdr>
        <w:top w:val="none" w:sz="0" w:space="0" w:color="auto"/>
        <w:left w:val="none" w:sz="0" w:space="0" w:color="auto"/>
        <w:bottom w:val="none" w:sz="0" w:space="0" w:color="auto"/>
        <w:right w:val="none" w:sz="0" w:space="0" w:color="auto"/>
      </w:divBdr>
    </w:div>
    <w:div w:id="385641804">
      <w:bodyDiv w:val="1"/>
      <w:marLeft w:val="0"/>
      <w:marRight w:val="0"/>
      <w:marTop w:val="0"/>
      <w:marBottom w:val="0"/>
      <w:divBdr>
        <w:top w:val="none" w:sz="0" w:space="0" w:color="auto"/>
        <w:left w:val="none" w:sz="0" w:space="0" w:color="auto"/>
        <w:bottom w:val="none" w:sz="0" w:space="0" w:color="auto"/>
        <w:right w:val="none" w:sz="0" w:space="0" w:color="auto"/>
      </w:divBdr>
    </w:div>
    <w:div w:id="443380725">
      <w:bodyDiv w:val="1"/>
      <w:marLeft w:val="0"/>
      <w:marRight w:val="0"/>
      <w:marTop w:val="0"/>
      <w:marBottom w:val="0"/>
      <w:divBdr>
        <w:top w:val="none" w:sz="0" w:space="0" w:color="auto"/>
        <w:left w:val="none" w:sz="0" w:space="0" w:color="auto"/>
        <w:bottom w:val="none" w:sz="0" w:space="0" w:color="auto"/>
        <w:right w:val="none" w:sz="0" w:space="0" w:color="auto"/>
      </w:divBdr>
    </w:div>
    <w:div w:id="456412720">
      <w:bodyDiv w:val="1"/>
      <w:marLeft w:val="0"/>
      <w:marRight w:val="0"/>
      <w:marTop w:val="0"/>
      <w:marBottom w:val="0"/>
      <w:divBdr>
        <w:top w:val="none" w:sz="0" w:space="0" w:color="auto"/>
        <w:left w:val="none" w:sz="0" w:space="0" w:color="auto"/>
        <w:bottom w:val="none" w:sz="0" w:space="0" w:color="auto"/>
        <w:right w:val="none" w:sz="0" w:space="0" w:color="auto"/>
      </w:divBdr>
    </w:div>
    <w:div w:id="485322760">
      <w:bodyDiv w:val="1"/>
      <w:marLeft w:val="0"/>
      <w:marRight w:val="0"/>
      <w:marTop w:val="0"/>
      <w:marBottom w:val="0"/>
      <w:divBdr>
        <w:top w:val="none" w:sz="0" w:space="0" w:color="auto"/>
        <w:left w:val="none" w:sz="0" w:space="0" w:color="auto"/>
        <w:bottom w:val="none" w:sz="0" w:space="0" w:color="auto"/>
        <w:right w:val="none" w:sz="0" w:space="0" w:color="auto"/>
      </w:divBdr>
    </w:div>
    <w:div w:id="513375994">
      <w:bodyDiv w:val="1"/>
      <w:marLeft w:val="0"/>
      <w:marRight w:val="0"/>
      <w:marTop w:val="0"/>
      <w:marBottom w:val="0"/>
      <w:divBdr>
        <w:top w:val="none" w:sz="0" w:space="0" w:color="auto"/>
        <w:left w:val="none" w:sz="0" w:space="0" w:color="auto"/>
        <w:bottom w:val="none" w:sz="0" w:space="0" w:color="auto"/>
        <w:right w:val="none" w:sz="0" w:space="0" w:color="auto"/>
      </w:divBdr>
    </w:div>
    <w:div w:id="538274950">
      <w:bodyDiv w:val="1"/>
      <w:marLeft w:val="0"/>
      <w:marRight w:val="0"/>
      <w:marTop w:val="0"/>
      <w:marBottom w:val="0"/>
      <w:divBdr>
        <w:top w:val="none" w:sz="0" w:space="0" w:color="auto"/>
        <w:left w:val="none" w:sz="0" w:space="0" w:color="auto"/>
        <w:bottom w:val="none" w:sz="0" w:space="0" w:color="auto"/>
        <w:right w:val="none" w:sz="0" w:space="0" w:color="auto"/>
      </w:divBdr>
    </w:div>
    <w:div w:id="621690329">
      <w:bodyDiv w:val="1"/>
      <w:marLeft w:val="0"/>
      <w:marRight w:val="0"/>
      <w:marTop w:val="0"/>
      <w:marBottom w:val="0"/>
      <w:divBdr>
        <w:top w:val="none" w:sz="0" w:space="0" w:color="auto"/>
        <w:left w:val="none" w:sz="0" w:space="0" w:color="auto"/>
        <w:bottom w:val="none" w:sz="0" w:space="0" w:color="auto"/>
        <w:right w:val="none" w:sz="0" w:space="0" w:color="auto"/>
      </w:divBdr>
    </w:div>
    <w:div w:id="648479742">
      <w:bodyDiv w:val="1"/>
      <w:marLeft w:val="0"/>
      <w:marRight w:val="0"/>
      <w:marTop w:val="0"/>
      <w:marBottom w:val="0"/>
      <w:divBdr>
        <w:top w:val="none" w:sz="0" w:space="0" w:color="auto"/>
        <w:left w:val="none" w:sz="0" w:space="0" w:color="auto"/>
        <w:bottom w:val="none" w:sz="0" w:space="0" w:color="auto"/>
        <w:right w:val="none" w:sz="0" w:space="0" w:color="auto"/>
      </w:divBdr>
    </w:div>
    <w:div w:id="733242762">
      <w:bodyDiv w:val="1"/>
      <w:marLeft w:val="0"/>
      <w:marRight w:val="0"/>
      <w:marTop w:val="0"/>
      <w:marBottom w:val="0"/>
      <w:divBdr>
        <w:top w:val="none" w:sz="0" w:space="0" w:color="auto"/>
        <w:left w:val="none" w:sz="0" w:space="0" w:color="auto"/>
        <w:bottom w:val="none" w:sz="0" w:space="0" w:color="auto"/>
        <w:right w:val="none" w:sz="0" w:space="0" w:color="auto"/>
      </w:divBdr>
    </w:div>
    <w:div w:id="761493366">
      <w:bodyDiv w:val="1"/>
      <w:marLeft w:val="0"/>
      <w:marRight w:val="0"/>
      <w:marTop w:val="0"/>
      <w:marBottom w:val="0"/>
      <w:divBdr>
        <w:top w:val="none" w:sz="0" w:space="0" w:color="auto"/>
        <w:left w:val="none" w:sz="0" w:space="0" w:color="auto"/>
        <w:bottom w:val="none" w:sz="0" w:space="0" w:color="auto"/>
        <w:right w:val="none" w:sz="0" w:space="0" w:color="auto"/>
      </w:divBdr>
    </w:div>
    <w:div w:id="803043223">
      <w:bodyDiv w:val="1"/>
      <w:marLeft w:val="0"/>
      <w:marRight w:val="0"/>
      <w:marTop w:val="0"/>
      <w:marBottom w:val="0"/>
      <w:divBdr>
        <w:top w:val="none" w:sz="0" w:space="0" w:color="auto"/>
        <w:left w:val="none" w:sz="0" w:space="0" w:color="auto"/>
        <w:bottom w:val="none" w:sz="0" w:space="0" w:color="auto"/>
        <w:right w:val="none" w:sz="0" w:space="0" w:color="auto"/>
      </w:divBdr>
    </w:div>
    <w:div w:id="818155297">
      <w:bodyDiv w:val="1"/>
      <w:marLeft w:val="0"/>
      <w:marRight w:val="0"/>
      <w:marTop w:val="0"/>
      <w:marBottom w:val="0"/>
      <w:divBdr>
        <w:top w:val="none" w:sz="0" w:space="0" w:color="auto"/>
        <w:left w:val="none" w:sz="0" w:space="0" w:color="auto"/>
        <w:bottom w:val="none" w:sz="0" w:space="0" w:color="auto"/>
        <w:right w:val="none" w:sz="0" w:space="0" w:color="auto"/>
      </w:divBdr>
    </w:div>
    <w:div w:id="820073541">
      <w:bodyDiv w:val="1"/>
      <w:marLeft w:val="0"/>
      <w:marRight w:val="0"/>
      <w:marTop w:val="0"/>
      <w:marBottom w:val="0"/>
      <w:divBdr>
        <w:top w:val="none" w:sz="0" w:space="0" w:color="auto"/>
        <w:left w:val="none" w:sz="0" w:space="0" w:color="auto"/>
        <w:bottom w:val="none" w:sz="0" w:space="0" w:color="auto"/>
        <w:right w:val="none" w:sz="0" w:space="0" w:color="auto"/>
      </w:divBdr>
    </w:div>
    <w:div w:id="867839685">
      <w:bodyDiv w:val="1"/>
      <w:marLeft w:val="0"/>
      <w:marRight w:val="0"/>
      <w:marTop w:val="0"/>
      <w:marBottom w:val="0"/>
      <w:divBdr>
        <w:top w:val="none" w:sz="0" w:space="0" w:color="auto"/>
        <w:left w:val="none" w:sz="0" w:space="0" w:color="auto"/>
        <w:bottom w:val="none" w:sz="0" w:space="0" w:color="auto"/>
        <w:right w:val="none" w:sz="0" w:space="0" w:color="auto"/>
      </w:divBdr>
    </w:div>
    <w:div w:id="937642504">
      <w:bodyDiv w:val="1"/>
      <w:marLeft w:val="0"/>
      <w:marRight w:val="0"/>
      <w:marTop w:val="0"/>
      <w:marBottom w:val="0"/>
      <w:divBdr>
        <w:top w:val="none" w:sz="0" w:space="0" w:color="auto"/>
        <w:left w:val="none" w:sz="0" w:space="0" w:color="auto"/>
        <w:bottom w:val="none" w:sz="0" w:space="0" w:color="auto"/>
        <w:right w:val="none" w:sz="0" w:space="0" w:color="auto"/>
      </w:divBdr>
    </w:div>
    <w:div w:id="972441818">
      <w:bodyDiv w:val="1"/>
      <w:marLeft w:val="0"/>
      <w:marRight w:val="0"/>
      <w:marTop w:val="0"/>
      <w:marBottom w:val="0"/>
      <w:divBdr>
        <w:top w:val="none" w:sz="0" w:space="0" w:color="auto"/>
        <w:left w:val="none" w:sz="0" w:space="0" w:color="auto"/>
        <w:bottom w:val="none" w:sz="0" w:space="0" w:color="auto"/>
        <w:right w:val="none" w:sz="0" w:space="0" w:color="auto"/>
      </w:divBdr>
    </w:div>
    <w:div w:id="1033338325">
      <w:bodyDiv w:val="1"/>
      <w:marLeft w:val="0"/>
      <w:marRight w:val="0"/>
      <w:marTop w:val="0"/>
      <w:marBottom w:val="0"/>
      <w:divBdr>
        <w:top w:val="none" w:sz="0" w:space="0" w:color="auto"/>
        <w:left w:val="none" w:sz="0" w:space="0" w:color="auto"/>
        <w:bottom w:val="none" w:sz="0" w:space="0" w:color="auto"/>
        <w:right w:val="none" w:sz="0" w:space="0" w:color="auto"/>
      </w:divBdr>
    </w:div>
    <w:div w:id="1075393229">
      <w:bodyDiv w:val="1"/>
      <w:marLeft w:val="0"/>
      <w:marRight w:val="0"/>
      <w:marTop w:val="0"/>
      <w:marBottom w:val="0"/>
      <w:divBdr>
        <w:top w:val="none" w:sz="0" w:space="0" w:color="auto"/>
        <w:left w:val="none" w:sz="0" w:space="0" w:color="auto"/>
        <w:bottom w:val="none" w:sz="0" w:space="0" w:color="auto"/>
        <w:right w:val="none" w:sz="0" w:space="0" w:color="auto"/>
      </w:divBdr>
    </w:div>
    <w:div w:id="1131021963">
      <w:bodyDiv w:val="1"/>
      <w:marLeft w:val="0"/>
      <w:marRight w:val="0"/>
      <w:marTop w:val="0"/>
      <w:marBottom w:val="0"/>
      <w:divBdr>
        <w:top w:val="none" w:sz="0" w:space="0" w:color="auto"/>
        <w:left w:val="none" w:sz="0" w:space="0" w:color="auto"/>
        <w:bottom w:val="none" w:sz="0" w:space="0" w:color="auto"/>
        <w:right w:val="none" w:sz="0" w:space="0" w:color="auto"/>
      </w:divBdr>
    </w:div>
    <w:div w:id="1181889982">
      <w:bodyDiv w:val="1"/>
      <w:marLeft w:val="0"/>
      <w:marRight w:val="0"/>
      <w:marTop w:val="0"/>
      <w:marBottom w:val="0"/>
      <w:divBdr>
        <w:top w:val="none" w:sz="0" w:space="0" w:color="auto"/>
        <w:left w:val="none" w:sz="0" w:space="0" w:color="auto"/>
        <w:bottom w:val="none" w:sz="0" w:space="0" w:color="auto"/>
        <w:right w:val="none" w:sz="0" w:space="0" w:color="auto"/>
      </w:divBdr>
    </w:div>
    <w:div w:id="1287664356">
      <w:bodyDiv w:val="1"/>
      <w:marLeft w:val="0"/>
      <w:marRight w:val="0"/>
      <w:marTop w:val="0"/>
      <w:marBottom w:val="0"/>
      <w:divBdr>
        <w:top w:val="none" w:sz="0" w:space="0" w:color="auto"/>
        <w:left w:val="none" w:sz="0" w:space="0" w:color="auto"/>
        <w:bottom w:val="none" w:sz="0" w:space="0" w:color="auto"/>
        <w:right w:val="none" w:sz="0" w:space="0" w:color="auto"/>
      </w:divBdr>
    </w:div>
    <w:div w:id="1342202289">
      <w:bodyDiv w:val="1"/>
      <w:marLeft w:val="0"/>
      <w:marRight w:val="0"/>
      <w:marTop w:val="0"/>
      <w:marBottom w:val="0"/>
      <w:divBdr>
        <w:top w:val="none" w:sz="0" w:space="0" w:color="auto"/>
        <w:left w:val="none" w:sz="0" w:space="0" w:color="auto"/>
        <w:bottom w:val="none" w:sz="0" w:space="0" w:color="auto"/>
        <w:right w:val="none" w:sz="0" w:space="0" w:color="auto"/>
      </w:divBdr>
      <w:divsChild>
        <w:div w:id="1633632206">
          <w:marLeft w:val="0"/>
          <w:marRight w:val="0"/>
          <w:marTop w:val="0"/>
          <w:marBottom w:val="0"/>
          <w:divBdr>
            <w:top w:val="none" w:sz="0" w:space="0" w:color="auto"/>
            <w:left w:val="none" w:sz="0" w:space="0" w:color="auto"/>
            <w:bottom w:val="none" w:sz="0" w:space="0" w:color="auto"/>
            <w:right w:val="none" w:sz="0" w:space="0" w:color="auto"/>
          </w:divBdr>
          <w:divsChild>
            <w:div w:id="1114590036">
              <w:marLeft w:val="0"/>
              <w:marRight w:val="0"/>
              <w:marTop w:val="0"/>
              <w:marBottom w:val="0"/>
              <w:divBdr>
                <w:top w:val="none" w:sz="0" w:space="0" w:color="auto"/>
                <w:left w:val="none" w:sz="0" w:space="0" w:color="auto"/>
                <w:bottom w:val="none" w:sz="0" w:space="0" w:color="auto"/>
                <w:right w:val="none" w:sz="0" w:space="0" w:color="auto"/>
              </w:divBdr>
              <w:divsChild>
                <w:div w:id="411779176">
                  <w:marLeft w:val="0"/>
                  <w:marRight w:val="0"/>
                  <w:marTop w:val="0"/>
                  <w:marBottom w:val="0"/>
                  <w:divBdr>
                    <w:top w:val="none" w:sz="0" w:space="0" w:color="auto"/>
                    <w:left w:val="none" w:sz="0" w:space="0" w:color="auto"/>
                    <w:bottom w:val="none" w:sz="0" w:space="0" w:color="auto"/>
                    <w:right w:val="none" w:sz="0" w:space="0" w:color="auto"/>
                  </w:divBdr>
                </w:div>
                <w:div w:id="1982805137">
                  <w:marLeft w:val="0"/>
                  <w:marRight w:val="0"/>
                  <w:marTop w:val="0"/>
                  <w:marBottom w:val="0"/>
                  <w:divBdr>
                    <w:top w:val="none" w:sz="0" w:space="0" w:color="auto"/>
                    <w:left w:val="none" w:sz="0" w:space="0" w:color="auto"/>
                    <w:bottom w:val="none" w:sz="0" w:space="0" w:color="auto"/>
                    <w:right w:val="none" w:sz="0" w:space="0" w:color="auto"/>
                  </w:divBdr>
                </w:div>
                <w:div w:id="686293574">
                  <w:marLeft w:val="0"/>
                  <w:marRight w:val="0"/>
                  <w:marTop w:val="0"/>
                  <w:marBottom w:val="0"/>
                  <w:divBdr>
                    <w:top w:val="none" w:sz="0" w:space="0" w:color="auto"/>
                    <w:left w:val="none" w:sz="0" w:space="0" w:color="auto"/>
                    <w:bottom w:val="none" w:sz="0" w:space="0" w:color="auto"/>
                    <w:right w:val="none" w:sz="0" w:space="0" w:color="auto"/>
                  </w:divBdr>
                  <w:divsChild>
                    <w:div w:id="10133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5582">
      <w:bodyDiv w:val="1"/>
      <w:marLeft w:val="0"/>
      <w:marRight w:val="0"/>
      <w:marTop w:val="0"/>
      <w:marBottom w:val="0"/>
      <w:divBdr>
        <w:top w:val="none" w:sz="0" w:space="0" w:color="auto"/>
        <w:left w:val="none" w:sz="0" w:space="0" w:color="auto"/>
        <w:bottom w:val="none" w:sz="0" w:space="0" w:color="auto"/>
        <w:right w:val="none" w:sz="0" w:space="0" w:color="auto"/>
      </w:divBdr>
    </w:div>
    <w:div w:id="1583875159">
      <w:bodyDiv w:val="1"/>
      <w:marLeft w:val="0"/>
      <w:marRight w:val="0"/>
      <w:marTop w:val="0"/>
      <w:marBottom w:val="0"/>
      <w:divBdr>
        <w:top w:val="none" w:sz="0" w:space="0" w:color="auto"/>
        <w:left w:val="none" w:sz="0" w:space="0" w:color="auto"/>
        <w:bottom w:val="none" w:sz="0" w:space="0" w:color="auto"/>
        <w:right w:val="none" w:sz="0" w:space="0" w:color="auto"/>
      </w:divBdr>
    </w:div>
    <w:div w:id="1701935276">
      <w:bodyDiv w:val="1"/>
      <w:marLeft w:val="0"/>
      <w:marRight w:val="0"/>
      <w:marTop w:val="0"/>
      <w:marBottom w:val="0"/>
      <w:divBdr>
        <w:top w:val="none" w:sz="0" w:space="0" w:color="auto"/>
        <w:left w:val="none" w:sz="0" w:space="0" w:color="auto"/>
        <w:bottom w:val="none" w:sz="0" w:space="0" w:color="auto"/>
        <w:right w:val="none" w:sz="0" w:space="0" w:color="auto"/>
      </w:divBdr>
    </w:div>
    <w:div w:id="1753159044">
      <w:bodyDiv w:val="1"/>
      <w:marLeft w:val="0"/>
      <w:marRight w:val="0"/>
      <w:marTop w:val="0"/>
      <w:marBottom w:val="0"/>
      <w:divBdr>
        <w:top w:val="none" w:sz="0" w:space="0" w:color="auto"/>
        <w:left w:val="none" w:sz="0" w:space="0" w:color="auto"/>
        <w:bottom w:val="none" w:sz="0" w:space="0" w:color="auto"/>
        <w:right w:val="none" w:sz="0" w:space="0" w:color="auto"/>
      </w:divBdr>
    </w:div>
    <w:div w:id="1754349396">
      <w:bodyDiv w:val="1"/>
      <w:marLeft w:val="0"/>
      <w:marRight w:val="0"/>
      <w:marTop w:val="0"/>
      <w:marBottom w:val="0"/>
      <w:divBdr>
        <w:top w:val="none" w:sz="0" w:space="0" w:color="auto"/>
        <w:left w:val="none" w:sz="0" w:space="0" w:color="auto"/>
        <w:bottom w:val="none" w:sz="0" w:space="0" w:color="auto"/>
        <w:right w:val="none" w:sz="0" w:space="0" w:color="auto"/>
      </w:divBdr>
    </w:div>
    <w:div w:id="1764842317">
      <w:bodyDiv w:val="1"/>
      <w:marLeft w:val="0"/>
      <w:marRight w:val="0"/>
      <w:marTop w:val="0"/>
      <w:marBottom w:val="0"/>
      <w:divBdr>
        <w:top w:val="none" w:sz="0" w:space="0" w:color="auto"/>
        <w:left w:val="none" w:sz="0" w:space="0" w:color="auto"/>
        <w:bottom w:val="none" w:sz="0" w:space="0" w:color="auto"/>
        <w:right w:val="none" w:sz="0" w:space="0" w:color="auto"/>
      </w:divBdr>
    </w:div>
    <w:div w:id="1835031160">
      <w:bodyDiv w:val="1"/>
      <w:marLeft w:val="0"/>
      <w:marRight w:val="0"/>
      <w:marTop w:val="0"/>
      <w:marBottom w:val="0"/>
      <w:divBdr>
        <w:top w:val="none" w:sz="0" w:space="0" w:color="auto"/>
        <w:left w:val="none" w:sz="0" w:space="0" w:color="auto"/>
        <w:bottom w:val="none" w:sz="0" w:space="0" w:color="auto"/>
        <w:right w:val="none" w:sz="0" w:space="0" w:color="auto"/>
      </w:divBdr>
    </w:div>
    <w:div w:id="1929196317">
      <w:bodyDiv w:val="1"/>
      <w:marLeft w:val="0"/>
      <w:marRight w:val="0"/>
      <w:marTop w:val="0"/>
      <w:marBottom w:val="0"/>
      <w:divBdr>
        <w:top w:val="none" w:sz="0" w:space="0" w:color="auto"/>
        <w:left w:val="none" w:sz="0" w:space="0" w:color="auto"/>
        <w:bottom w:val="none" w:sz="0" w:space="0" w:color="auto"/>
        <w:right w:val="none" w:sz="0" w:space="0" w:color="auto"/>
      </w:divBdr>
    </w:div>
    <w:div w:id="1967468971">
      <w:bodyDiv w:val="1"/>
      <w:marLeft w:val="0"/>
      <w:marRight w:val="0"/>
      <w:marTop w:val="0"/>
      <w:marBottom w:val="0"/>
      <w:divBdr>
        <w:top w:val="none" w:sz="0" w:space="0" w:color="auto"/>
        <w:left w:val="none" w:sz="0" w:space="0" w:color="auto"/>
        <w:bottom w:val="none" w:sz="0" w:space="0" w:color="auto"/>
        <w:right w:val="none" w:sz="0" w:space="0" w:color="auto"/>
      </w:divBdr>
    </w:div>
    <w:div w:id="2001809980">
      <w:bodyDiv w:val="1"/>
      <w:marLeft w:val="0"/>
      <w:marRight w:val="0"/>
      <w:marTop w:val="0"/>
      <w:marBottom w:val="0"/>
      <w:divBdr>
        <w:top w:val="none" w:sz="0" w:space="0" w:color="auto"/>
        <w:left w:val="none" w:sz="0" w:space="0" w:color="auto"/>
        <w:bottom w:val="none" w:sz="0" w:space="0" w:color="auto"/>
        <w:right w:val="none" w:sz="0" w:space="0" w:color="auto"/>
      </w:divBdr>
    </w:div>
    <w:div w:id="2038265182">
      <w:bodyDiv w:val="1"/>
      <w:marLeft w:val="0"/>
      <w:marRight w:val="0"/>
      <w:marTop w:val="0"/>
      <w:marBottom w:val="0"/>
      <w:divBdr>
        <w:top w:val="none" w:sz="0" w:space="0" w:color="auto"/>
        <w:left w:val="none" w:sz="0" w:space="0" w:color="auto"/>
        <w:bottom w:val="none" w:sz="0" w:space="0" w:color="auto"/>
        <w:right w:val="none" w:sz="0" w:space="0" w:color="auto"/>
      </w:divBdr>
    </w:div>
    <w:div w:id="2045012476">
      <w:bodyDiv w:val="1"/>
      <w:marLeft w:val="0"/>
      <w:marRight w:val="0"/>
      <w:marTop w:val="0"/>
      <w:marBottom w:val="0"/>
      <w:divBdr>
        <w:top w:val="none" w:sz="0" w:space="0" w:color="auto"/>
        <w:left w:val="none" w:sz="0" w:space="0" w:color="auto"/>
        <w:bottom w:val="none" w:sz="0" w:space="0" w:color="auto"/>
        <w:right w:val="none" w:sz="0" w:space="0" w:color="auto"/>
      </w:divBdr>
    </w:div>
    <w:div w:id="20543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centralbanking.com/central-banks/monetary-policy/7856316/boj-to-offer-zero-interest-loans-for-climate-projects" TargetMode="External"/><Relationship Id="rId2" Type="http://schemas.openxmlformats.org/officeDocument/2006/relationships/hyperlink" Target="https://www.greenfinanceinstitute.co.uk/news-and-insights/new-report-on-local-authority-retrofit-finance/" TargetMode="External"/><Relationship Id="rId1" Type="http://schemas.openxmlformats.org/officeDocument/2006/relationships/hyperlink" Target="https://www.londoncouncils.gov.uk/our-key-themes/climate-change/retrofit-london-housing-action-plan" TargetMode="External"/><Relationship Id="rId4" Type="http://schemas.openxmlformats.org/officeDocument/2006/relationships/hyperlink" Target="https://www.kfw.de/inlandsfoerderung/Companies/Energy-and-the-environ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6803A5" w:rsidRDefault="006803A5">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3A5"/>
    <w:rsid w:val="000154CF"/>
    <w:rsid w:val="0005492D"/>
    <w:rsid w:val="0010020C"/>
    <w:rsid w:val="001474D3"/>
    <w:rsid w:val="00165B00"/>
    <w:rsid w:val="001758DA"/>
    <w:rsid w:val="001958A9"/>
    <w:rsid w:val="001D5060"/>
    <w:rsid w:val="001F7F41"/>
    <w:rsid w:val="0028162F"/>
    <w:rsid w:val="002D2102"/>
    <w:rsid w:val="003A116A"/>
    <w:rsid w:val="003B62C0"/>
    <w:rsid w:val="003C492E"/>
    <w:rsid w:val="003C4D4F"/>
    <w:rsid w:val="00454584"/>
    <w:rsid w:val="004572E7"/>
    <w:rsid w:val="004972E4"/>
    <w:rsid w:val="004B31CC"/>
    <w:rsid w:val="00531CB8"/>
    <w:rsid w:val="005525B7"/>
    <w:rsid w:val="00570E07"/>
    <w:rsid w:val="00571B15"/>
    <w:rsid w:val="005C5DB0"/>
    <w:rsid w:val="005D3A0C"/>
    <w:rsid w:val="00633D01"/>
    <w:rsid w:val="00640D28"/>
    <w:rsid w:val="00671F77"/>
    <w:rsid w:val="006803A5"/>
    <w:rsid w:val="006A13E3"/>
    <w:rsid w:val="006A52D2"/>
    <w:rsid w:val="00785C50"/>
    <w:rsid w:val="008140BF"/>
    <w:rsid w:val="008144C1"/>
    <w:rsid w:val="008665F3"/>
    <w:rsid w:val="00895774"/>
    <w:rsid w:val="0091004F"/>
    <w:rsid w:val="009232C6"/>
    <w:rsid w:val="00995E43"/>
    <w:rsid w:val="009D02E0"/>
    <w:rsid w:val="00A912A8"/>
    <w:rsid w:val="00AE60F8"/>
    <w:rsid w:val="00BC58F1"/>
    <w:rsid w:val="00C520F4"/>
    <w:rsid w:val="00CA3C78"/>
    <w:rsid w:val="00D5219E"/>
    <w:rsid w:val="00D6517D"/>
    <w:rsid w:val="00D72BF7"/>
    <w:rsid w:val="00DA2C8D"/>
    <w:rsid w:val="00E14B1A"/>
    <w:rsid w:val="00E669A9"/>
    <w:rsid w:val="00E871EF"/>
    <w:rsid w:val="00E971C3"/>
    <w:rsid w:val="00F9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9C1DB042E98444857635425F8E8FFF" ma:contentTypeVersion="13" ma:contentTypeDescription="Create a new document." ma:contentTypeScope="" ma:versionID="9ebbe8ba8e3fa8078d850f28501af959">
  <xsd:schema xmlns:xsd="http://www.w3.org/2001/XMLSchema" xmlns:xs="http://www.w3.org/2001/XMLSchema" xmlns:p="http://schemas.microsoft.com/office/2006/metadata/properties" xmlns:ns3="2e626129-57f8-400f-9afa-785168c2712f" xmlns:ns4="54e3cf3c-df8d-4797-af9d-cdee34e6ee35" targetNamespace="http://schemas.microsoft.com/office/2006/metadata/properties" ma:root="true" ma:fieldsID="5df4939fea5d25546a6f835ec096d748" ns3:_="" ns4:_="">
    <xsd:import namespace="2e626129-57f8-400f-9afa-785168c2712f"/>
    <xsd:import namespace="54e3cf3c-df8d-4797-af9d-cdee34e6e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26129-57f8-400f-9afa-785168c27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3cf3c-df8d-4797-af9d-cdee34e6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4182-0541-4EAB-9F34-3EED871C7D2C}">
  <ds:schemaRefs>
    <ds:schemaRef ds:uri="http://schemas.microsoft.com/sharepoint/v3/contenttype/forms"/>
  </ds:schemaRefs>
</ds:datastoreItem>
</file>

<file path=customXml/itemProps2.xml><?xml version="1.0" encoding="utf-8"?>
<ds:datastoreItem xmlns:ds="http://schemas.openxmlformats.org/officeDocument/2006/customXml" ds:itemID="{E452E486-F4A6-43C5-A501-DFFF6C9C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26129-57f8-400f-9afa-785168c2712f"/>
    <ds:schemaRef ds:uri="54e3cf3c-df8d-4797-af9d-cdee34e6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EE67F-9207-400E-B138-CFD67158A0FC}">
  <ds:schemaRefs>
    <ds:schemaRef ds:uri="54e3cf3c-df8d-4797-af9d-cdee34e6ee35"/>
    <ds:schemaRef ds:uri="2e626129-57f8-400f-9afa-785168c2712f"/>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0BF688-6FD1-472E-8A69-F88C617D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1</TotalTime>
  <Pages>8</Pages>
  <Words>3216</Words>
  <Characters>18334</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Prashant Vaze</cp:lastModifiedBy>
  <cp:revision>2</cp:revision>
  <cp:lastPrinted>2020-08-28T16:01:00Z</cp:lastPrinted>
  <dcterms:created xsi:type="dcterms:W3CDTF">2022-06-29T22:14:00Z</dcterms:created>
  <dcterms:modified xsi:type="dcterms:W3CDTF">2022-06-29T22:14:00Z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y fmtid="{D5CDD505-2E9C-101B-9397-08002B2CF9AE}" pid="4" name="ContentTypeId">
    <vt:lpwstr>0x010100C89C1DB042E98444857635425F8E8FFF</vt:lpwstr>
  </property>
</Properties>
</file>