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1" w:rightFromText="181" w:vertAnchor="page" w:horzAnchor="page" w:tblpX="795" w:tblpY="568"/>
        <w:tblOverlap w:val="never"/>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148"/>
      </w:tblGrid>
      <w:tr w:rsidR="00AC4090" w14:paraId="7BEC0192" w14:textId="77777777" w:rsidTr="00AC4090">
        <w:trPr>
          <w:cantSplit/>
          <w:trHeight w:val="624"/>
        </w:trPr>
        <w:sdt>
          <w:sdtPr>
            <w:rPr>
              <w:noProof/>
            </w:rPr>
            <w:id w:val="-360744209"/>
            <w:placeholder>
              <w:docPart w:val="D725DE22322A48E9A3D1AECE9FA4BEA3"/>
            </w:placeholder>
            <w:date w:fullDate="2022-10-10T00:00:00Z">
              <w:dateFormat w:val="dddd dd MMMM yyyy"/>
              <w:lid w:val="en-GB"/>
              <w:storeMappedDataAs w:val="dateTime"/>
              <w:calendar w:val="gregorian"/>
            </w:date>
          </w:sdtPr>
          <w:sdtEndPr/>
          <w:sdtContent>
            <w:tc>
              <w:tcPr>
                <w:tcW w:w="10148" w:type="dxa"/>
                <w:shd w:val="clear" w:color="auto" w:fill="522380" w:themeFill="accent1"/>
                <w:vAlign w:val="bottom"/>
              </w:tcPr>
              <w:p w14:paraId="573734A8" w14:textId="2E64F458" w:rsidR="00AC4090" w:rsidRPr="00514B1B" w:rsidRDefault="00700602" w:rsidP="00F2461F">
                <w:pPr>
                  <w:pStyle w:val="DocDate"/>
                  <w:jc w:val="both"/>
                </w:pPr>
                <w:r>
                  <w:rPr>
                    <w:noProof/>
                  </w:rPr>
                  <w:t>Monday 10 October 2022</w:t>
                </w:r>
              </w:p>
            </w:tc>
          </w:sdtContent>
        </w:sdt>
      </w:tr>
    </w:tbl>
    <w:tbl>
      <w:tblPr>
        <w:tblpPr w:leftFromText="181" w:rightFromText="181" w:vertAnchor="text" w:tblpY="-197"/>
        <w:tblOverlap w:val="never"/>
        <w:tblW w:w="10177" w:type="dxa"/>
        <w:tblLayout w:type="fixed"/>
        <w:tblCellMar>
          <w:left w:w="0" w:type="dxa"/>
          <w:right w:w="0" w:type="dxa"/>
        </w:tblCellMar>
        <w:tblLook w:val="04A0" w:firstRow="1" w:lastRow="0" w:firstColumn="1" w:lastColumn="0" w:noHBand="0" w:noVBand="1"/>
      </w:tblPr>
      <w:tblGrid>
        <w:gridCol w:w="397"/>
        <w:gridCol w:w="9780"/>
      </w:tblGrid>
      <w:tr w:rsidR="00EB21F3" w14:paraId="0269D745" w14:textId="77777777" w:rsidTr="007015B5">
        <w:trPr>
          <w:cantSplit/>
          <w:trHeight w:hRule="exact" w:val="1843"/>
        </w:trPr>
        <w:tc>
          <w:tcPr>
            <w:tcW w:w="397" w:type="dxa"/>
            <w:tcBorders>
              <w:bottom w:val="single" w:sz="48" w:space="0" w:color="522380" w:themeColor="accent1"/>
            </w:tcBorders>
            <w:tcMar>
              <w:bottom w:w="425" w:type="dxa"/>
            </w:tcMar>
          </w:tcPr>
          <w:p w14:paraId="28053780" w14:textId="77777777" w:rsidR="00EB21F3" w:rsidRPr="00F114E9" w:rsidRDefault="00FD093E" w:rsidP="00514B1B">
            <w:pPr>
              <w:pStyle w:val="Draft"/>
            </w:pPr>
            <w:r>
              <w:rPr>
                <w:noProof/>
                <w:lang w:eastAsia="en-GB"/>
              </w:rPr>
              <mc:AlternateContent>
                <mc:Choice Requires="wps">
                  <w:drawing>
                    <wp:inline distT="0" distB="0" distL="0" distR="0" wp14:anchorId="7E1E20E2" wp14:editId="64E088CB">
                      <wp:extent cx="266400" cy="133200"/>
                      <wp:effectExtent l="0" t="9525" r="0" b="0"/>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6400" cy="133200"/>
                              </a:xfrm>
                              <a:prstGeom prst="triangle">
                                <a:avLst/>
                              </a:prstGeom>
                              <a:solidFill>
                                <a:schemeClr val="accent3"/>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xmlns:w16sdtdh="http://schemas.microsoft.com/office/word/2020/wordml/sdtdatahash">
                  <w:pict>
                    <v:shapetype w14:anchorId="418BC13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width:21pt;height:10.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" fillcolor="#ec098d [3206]" stroked="f" strokeweight="1.5pt">
                      <o:lock v:ext="edit" aspectratio="t"/>
                      <w10:anchorlock/>
                    </v:shape>
                  </w:pict>
                </mc:Fallback>
              </mc:AlternateContent>
            </w:r>
          </w:p>
        </w:tc>
        <w:tc>
          <w:tcPr>
            <w:tcW w:w="9780" w:type="dxa"/>
            <w:tcBorders>
              <w:bottom w:val="single" w:sz="48" w:space="0" w:color="522380" w:themeColor="accent1"/>
            </w:tcBorders>
            <w:tcMar>
              <w:bottom w:w="425" w:type="dxa"/>
            </w:tcMar>
          </w:tcPr>
          <w:p w14:paraId="6B2EEDE8" w14:textId="614EF81D" w:rsidR="00EB21F3" w:rsidRPr="00873614" w:rsidRDefault="00700602" w:rsidP="00514B1B">
            <w:pPr>
              <w:pStyle w:val="DocType"/>
              <w:framePr w:hSpace="0" w:wrap="auto" w:vAnchor="margin" w:yAlign="inline"/>
              <w:suppressOverlap w:val="0"/>
            </w:pPr>
            <w:bookmarkStart w:id="0" w:name="_Hlk115694491"/>
            <w:r w:rsidRPr="00700602">
              <w:rPr>
                <w:bCs/>
                <w:sz w:val="56"/>
                <w:szCs w:val="56"/>
              </w:rPr>
              <w:t>Review of Electricity Market Arrangements</w:t>
            </w:r>
            <w:bookmarkEnd w:id="0"/>
            <w:r w:rsidR="008D35B1">
              <w:rPr>
                <w:bCs/>
                <w:sz w:val="56"/>
                <w:szCs w:val="56"/>
              </w:rPr>
              <w:t xml:space="preserve"> </w:t>
            </w:r>
          </w:p>
        </w:tc>
      </w:tr>
      <w:tr w:rsidR="00EB21F3" w14:paraId="62BD8532" w14:textId="77777777" w:rsidTr="007073E2">
        <w:trPr>
          <w:cantSplit/>
          <w:trHeight w:val="337"/>
        </w:trPr>
        <w:tc>
          <w:tcPr>
            <w:tcW w:w="397" w:type="dxa"/>
            <w:tcBorders>
              <w:top w:val="single" w:sz="48" w:space="0" w:color="522380" w:themeColor="accent1"/>
              <w:bottom w:val="single" w:sz="48" w:space="0" w:color="522380" w:themeColor="accent1"/>
            </w:tcBorders>
            <w:tcMar>
              <w:top w:w="539" w:type="dxa"/>
              <w:bottom w:w="482" w:type="dxa"/>
            </w:tcMar>
          </w:tcPr>
          <w:p w14:paraId="31741A74" w14:textId="77777777" w:rsidR="00EB21F3" w:rsidRPr="00EB21F3" w:rsidRDefault="00B84B8B" w:rsidP="00514B1B">
            <w:pPr>
              <w:pStyle w:val="GraphicLeft"/>
            </w:pPr>
            <w:r>
              <w:rPr>
                <w:noProof/>
                <w:lang w:eastAsia="en-GB"/>
              </w:rPr>
              <mc:AlternateContent>
                <mc:Choice Requires="wps">
                  <w:drawing>
                    <wp:inline distT="0" distB="0" distL="0" distR="0" wp14:anchorId="14ECB5FB" wp14:editId="580E16AE">
                      <wp:extent cx="266400" cy="133200"/>
                      <wp:effectExtent l="0" t="9525" r="0" b="0"/>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6400" cy="133200"/>
                              </a:xfrm>
                              <a:prstGeom prst="triangle">
                                <a:avLst/>
                              </a:prstGeom>
                              <a:solidFill>
                                <a:schemeClr val="accent1"/>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xmlns:w16sdtdh="http://schemas.microsoft.com/office/word/2020/wordml/sdtdatahash">
                  <w:pict>
                    <v:shape w14:anchorId="48211927" id="Isosceles Triangle 6" o:spid="_x0000_s1026" type="#_x0000_t5" style="width:21pt;height:10.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" fillcolor="#522380 [3204]" stroked="f" strokeweight="1.5pt">
                      <o:lock v:ext="edit" aspectratio="t"/>
                      <w10:anchorlock/>
                    </v:shape>
                  </w:pict>
                </mc:Fallback>
              </mc:AlternateContent>
            </w:r>
          </w:p>
        </w:tc>
        <w:tc>
          <w:tcPr>
            <w:tcW w:w="9780" w:type="dxa"/>
            <w:tcBorders>
              <w:top w:val="single" w:sz="48" w:space="0" w:color="522380" w:themeColor="accent1"/>
              <w:bottom w:val="single" w:sz="48" w:space="0" w:color="522380" w:themeColor="accent1"/>
            </w:tcBorders>
            <w:tcMar>
              <w:top w:w="539" w:type="dxa"/>
              <w:bottom w:w="482" w:type="dxa"/>
            </w:tcMar>
          </w:tcPr>
          <w:p w14:paraId="4E27AA4F" w14:textId="42250570" w:rsidR="00514B1B" w:rsidRPr="00CC10E9" w:rsidRDefault="005461A0" w:rsidP="00CC10E9">
            <w:pPr>
              <w:rPr>
                <w:color w:val="522380" w:themeColor="accent1"/>
                <w:sz w:val="40"/>
                <w:szCs w:val="40"/>
              </w:rPr>
            </w:pPr>
            <w:r w:rsidRPr="00CC10E9">
              <w:rPr>
                <w:color w:val="522380" w:themeColor="accent1"/>
                <w:sz w:val="40"/>
                <w:szCs w:val="40"/>
              </w:rPr>
              <w:t>London Councils</w:t>
            </w:r>
            <w:r w:rsidR="002E24F3" w:rsidRPr="00CC10E9">
              <w:rPr>
                <w:color w:val="522380" w:themeColor="accent1"/>
                <w:sz w:val="40"/>
                <w:szCs w:val="40"/>
              </w:rPr>
              <w:t>’</w:t>
            </w:r>
            <w:r w:rsidRPr="00CC10E9">
              <w:rPr>
                <w:color w:val="522380" w:themeColor="accent1"/>
                <w:sz w:val="40"/>
                <w:szCs w:val="40"/>
              </w:rPr>
              <w:t xml:space="preserve"> </w:t>
            </w:r>
            <w:r w:rsidR="002E24F3" w:rsidRPr="00CC10E9">
              <w:rPr>
                <w:color w:val="522380" w:themeColor="accent1"/>
                <w:sz w:val="40"/>
                <w:szCs w:val="40"/>
              </w:rPr>
              <w:t>r</w:t>
            </w:r>
            <w:r w:rsidR="00527398" w:rsidRPr="00CC10E9">
              <w:rPr>
                <w:color w:val="522380" w:themeColor="accent1"/>
                <w:sz w:val="40"/>
                <w:szCs w:val="40"/>
              </w:rPr>
              <w:t>esponse</w:t>
            </w:r>
            <w:r w:rsidR="00F27152" w:rsidRPr="00CC10E9">
              <w:rPr>
                <w:color w:val="522380" w:themeColor="accent1"/>
                <w:sz w:val="40"/>
                <w:szCs w:val="40"/>
              </w:rPr>
              <w:t xml:space="preserve"> </w:t>
            </w:r>
            <w:r w:rsidR="002E24F3" w:rsidRPr="00CC10E9">
              <w:rPr>
                <w:color w:val="522380" w:themeColor="accent1"/>
                <w:sz w:val="40"/>
                <w:szCs w:val="40"/>
              </w:rPr>
              <w:t xml:space="preserve">to </w:t>
            </w:r>
            <w:r w:rsidR="00873614">
              <w:rPr>
                <w:color w:val="522380" w:themeColor="accent1"/>
                <w:sz w:val="40"/>
                <w:szCs w:val="40"/>
              </w:rPr>
              <w:t xml:space="preserve">Government </w:t>
            </w:r>
            <w:r w:rsidR="00FA2B02">
              <w:rPr>
                <w:color w:val="522380" w:themeColor="accent1"/>
                <w:sz w:val="40"/>
                <w:szCs w:val="40"/>
              </w:rPr>
              <w:t>Consultation</w:t>
            </w:r>
          </w:p>
        </w:tc>
      </w:tr>
    </w:tbl>
    <w:tbl>
      <w:tblPr>
        <w:tblStyle w:val="LondonCouncils"/>
        <w:tblW w:w="10177" w:type="dxa"/>
        <w:tblInd w:w="85" w:type="dxa"/>
        <w:tblLayout w:type="fixed"/>
        <w:tblLook w:val="0600" w:firstRow="0" w:lastRow="0" w:firstColumn="0" w:lastColumn="0" w:noHBand="1" w:noVBand="1"/>
      </w:tblPr>
      <w:tblGrid>
        <w:gridCol w:w="397"/>
        <w:gridCol w:w="9384"/>
        <w:gridCol w:w="396"/>
      </w:tblGrid>
      <w:tr w:rsidR="00B34F65" w:rsidRPr="00EA414C" w14:paraId="6EC5D23D" w14:textId="77777777" w:rsidTr="00EC4C97">
        <w:trPr>
          <w:trHeight w:hRule="exact" w:val="113"/>
        </w:trPr>
        <w:tc>
          <w:tcPr>
            <w:tcW w:w="397" w:type="dxa"/>
          </w:tcPr>
          <w:p w14:paraId="1BABA99B" w14:textId="77777777" w:rsidR="00B34F65" w:rsidRPr="00EA414C" w:rsidRDefault="00B34F65" w:rsidP="00904E4A">
            <w:pPr>
              <w:pStyle w:val="Spacer"/>
            </w:pPr>
          </w:p>
        </w:tc>
        <w:tc>
          <w:tcPr>
            <w:tcW w:w="9384" w:type="dxa"/>
          </w:tcPr>
          <w:p w14:paraId="23965C01" w14:textId="77777777" w:rsidR="00B34F65" w:rsidRPr="00EA414C" w:rsidRDefault="00B34F65" w:rsidP="00904E4A">
            <w:pPr>
              <w:pStyle w:val="Spacer"/>
            </w:pPr>
          </w:p>
        </w:tc>
        <w:tc>
          <w:tcPr>
            <w:tcW w:w="396" w:type="dxa"/>
          </w:tcPr>
          <w:p w14:paraId="5A544AC8" w14:textId="77777777" w:rsidR="00B34F65" w:rsidRPr="00EA414C" w:rsidRDefault="00B34F65" w:rsidP="00904E4A">
            <w:pPr>
              <w:pStyle w:val="Spacer"/>
            </w:pPr>
          </w:p>
        </w:tc>
      </w:tr>
      <w:tr w:rsidR="00B34F65" w:rsidRPr="004A22B8" w14:paraId="08702AEB" w14:textId="77777777" w:rsidTr="00B34F65">
        <w:trPr>
          <w:trHeight w:val="283"/>
        </w:trPr>
        <w:tc>
          <w:tcPr>
            <w:tcW w:w="397" w:type="dxa"/>
          </w:tcPr>
          <w:p w14:paraId="361F6A78" w14:textId="77777777" w:rsidR="00B34F65" w:rsidRPr="004A22B8" w:rsidRDefault="00B34F65" w:rsidP="0021493E">
            <w:pPr>
              <w:pStyle w:val="TableTextLeft"/>
              <w:rPr>
                <w:sz w:val="22"/>
                <w:szCs w:val="22"/>
              </w:rPr>
            </w:pPr>
          </w:p>
        </w:tc>
        <w:tc>
          <w:tcPr>
            <w:tcW w:w="9384" w:type="dxa"/>
          </w:tcPr>
          <w:p w14:paraId="6E443E41" w14:textId="4A88D1C5" w:rsidR="00EC4C97" w:rsidRPr="004A22B8" w:rsidRDefault="00FB4122" w:rsidP="00A03785">
            <w:pPr>
              <w:pStyle w:val="HighlightText"/>
              <w:rPr>
                <w:sz w:val="22"/>
                <w:szCs w:val="22"/>
              </w:rPr>
            </w:pPr>
            <w:r w:rsidRPr="004A22B8">
              <w:rPr>
                <w:rFonts w:ascii="Arial" w:hAnsi="Arial"/>
                <w:b/>
                <w:sz w:val="22"/>
                <w:szCs w:val="22"/>
              </w:rPr>
              <w:t xml:space="preserve">London Councils represents London’s 32 borough councils and the City of London. It is a cross-party organisation that works on behalf of </w:t>
            </w:r>
            <w:r w:rsidR="002D1022" w:rsidRPr="004A22B8">
              <w:rPr>
                <w:rFonts w:ascii="Arial" w:hAnsi="Arial"/>
                <w:b/>
                <w:sz w:val="22"/>
                <w:szCs w:val="22"/>
              </w:rPr>
              <w:t>all</w:t>
            </w:r>
            <w:r w:rsidRPr="004A22B8">
              <w:rPr>
                <w:rFonts w:ascii="Arial" w:hAnsi="Arial"/>
                <w:b/>
                <w:sz w:val="22"/>
                <w:szCs w:val="22"/>
              </w:rPr>
              <w:t xml:space="preserve"> its member authorities regardless of political persuasion.</w:t>
            </w:r>
          </w:p>
        </w:tc>
        <w:tc>
          <w:tcPr>
            <w:tcW w:w="396" w:type="dxa"/>
          </w:tcPr>
          <w:p w14:paraId="4B153A73" w14:textId="77777777" w:rsidR="00B34F65" w:rsidRPr="004A22B8" w:rsidRDefault="00B34F65" w:rsidP="0021493E">
            <w:pPr>
              <w:pStyle w:val="TableTextLeft"/>
              <w:rPr>
                <w:sz w:val="22"/>
                <w:szCs w:val="22"/>
              </w:rPr>
            </w:pPr>
          </w:p>
        </w:tc>
      </w:tr>
      <w:tr w:rsidR="00B34F65" w:rsidRPr="004A22B8" w14:paraId="5A3A3CED" w14:textId="77777777" w:rsidTr="00EC4C97">
        <w:trPr>
          <w:trHeight w:hRule="exact" w:val="170"/>
        </w:trPr>
        <w:tc>
          <w:tcPr>
            <w:tcW w:w="397" w:type="dxa"/>
          </w:tcPr>
          <w:p w14:paraId="522B2461" w14:textId="77777777" w:rsidR="00B34F65" w:rsidRPr="004A22B8" w:rsidRDefault="00B34F65" w:rsidP="00C73F78">
            <w:pPr>
              <w:pStyle w:val="Spacer"/>
              <w:rPr>
                <w:sz w:val="22"/>
                <w:szCs w:val="22"/>
              </w:rPr>
            </w:pPr>
          </w:p>
        </w:tc>
        <w:tc>
          <w:tcPr>
            <w:tcW w:w="9384" w:type="dxa"/>
          </w:tcPr>
          <w:p w14:paraId="5C1F811E" w14:textId="77777777" w:rsidR="00B34F65" w:rsidRPr="004A22B8" w:rsidRDefault="00B34F65" w:rsidP="00C73F78">
            <w:pPr>
              <w:pStyle w:val="Spacer"/>
              <w:rPr>
                <w:sz w:val="22"/>
                <w:szCs w:val="22"/>
              </w:rPr>
            </w:pPr>
          </w:p>
        </w:tc>
        <w:tc>
          <w:tcPr>
            <w:tcW w:w="396" w:type="dxa"/>
          </w:tcPr>
          <w:p w14:paraId="3FA93A9C" w14:textId="77777777" w:rsidR="00B34F65" w:rsidRPr="004A22B8" w:rsidRDefault="00B34F65" w:rsidP="00C73F78">
            <w:pPr>
              <w:pStyle w:val="Spacer"/>
              <w:rPr>
                <w:sz w:val="22"/>
                <w:szCs w:val="22"/>
              </w:rPr>
            </w:pPr>
          </w:p>
        </w:tc>
      </w:tr>
    </w:tbl>
    <w:p w14:paraId="7CF45234" w14:textId="14D4D27A" w:rsidR="00894B8C" w:rsidRDefault="00894B8C" w:rsidP="007067D1">
      <w:pPr>
        <w:rPr>
          <w:rFonts w:eastAsia="Times New Roman" w:cstheme="minorHAnsi"/>
          <w:lang w:eastAsia="en-GB"/>
        </w:rPr>
      </w:pPr>
    </w:p>
    <w:p w14:paraId="456E3900" w14:textId="4583774A" w:rsidR="00361859" w:rsidRDefault="00C574A4" w:rsidP="00B14723">
      <w:r>
        <w:t>London Councils w</w:t>
      </w:r>
      <w:r w:rsidR="00A04702">
        <w:t>elcome</w:t>
      </w:r>
      <w:r>
        <w:t>s</w:t>
      </w:r>
      <w:r w:rsidR="00A04702">
        <w:t xml:space="preserve"> </w:t>
      </w:r>
      <w:r>
        <w:t xml:space="preserve">the consultation on the </w:t>
      </w:r>
      <w:r w:rsidR="00B14723" w:rsidRPr="00A04702">
        <w:t xml:space="preserve">Review of Electricity Market Arrangements </w:t>
      </w:r>
      <w:r w:rsidR="00B14723">
        <w:t>(</w:t>
      </w:r>
      <w:r w:rsidR="00B14723" w:rsidRPr="001F3278">
        <w:t>REMA</w:t>
      </w:r>
      <w:r w:rsidR="00B14723">
        <w:t>)</w:t>
      </w:r>
      <w:r>
        <w:t>. We believe</w:t>
      </w:r>
      <w:r w:rsidR="00361859">
        <w:t xml:space="preserve"> it</w:t>
      </w:r>
      <w:r>
        <w:t xml:space="preserve"> is long overdue given the volatility in wholesale power prices and </w:t>
      </w:r>
      <w:r w:rsidR="00361859">
        <w:t xml:space="preserve">the disconnect between </w:t>
      </w:r>
      <w:r w:rsidR="009D0A96">
        <w:t xml:space="preserve">the market price of </w:t>
      </w:r>
      <w:r w:rsidR="00361859">
        <w:t>electricity and the cheapening price of renewables</w:t>
      </w:r>
      <w:r w:rsidR="00A04702">
        <w:t xml:space="preserve">. </w:t>
      </w:r>
    </w:p>
    <w:p w14:paraId="439B6019" w14:textId="0CFD2C4D" w:rsidR="00A04702" w:rsidRPr="009D0A96" w:rsidRDefault="000213F4" w:rsidP="007067D1">
      <w:r>
        <w:t xml:space="preserve">It is important that </w:t>
      </w:r>
      <w:r w:rsidR="00361859">
        <w:t xml:space="preserve">REMA </w:t>
      </w:r>
      <w:r>
        <w:t xml:space="preserve">helps </w:t>
      </w:r>
      <w:r w:rsidR="00A04702">
        <w:t>reduc</w:t>
      </w:r>
      <w:r>
        <w:t>e</w:t>
      </w:r>
      <w:r w:rsidR="00A04702">
        <w:t xml:space="preserve"> the cost-of living.</w:t>
      </w:r>
      <w:r w:rsidR="00361859">
        <w:t xml:space="preserve"> We are keen </w:t>
      </w:r>
      <w:r>
        <w:t xml:space="preserve">to see reforms that </w:t>
      </w:r>
      <w:r w:rsidR="00361859">
        <w:t xml:space="preserve">support </w:t>
      </w:r>
      <w:r w:rsidR="00A04702">
        <w:t>place-based investment</w:t>
      </w:r>
      <w:r>
        <w:t xml:space="preserve"> </w:t>
      </w:r>
      <w:r w:rsidR="00700CD8">
        <w:t xml:space="preserve">in </w:t>
      </w:r>
      <w:r>
        <w:t xml:space="preserve">decentralised energy, storage and </w:t>
      </w:r>
      <w:r w:rsidR="00700CD8">
        <w:t>flexible demand</w:t>
      </w:r>
      <w:r w:rsidR="00A04702">
        <w:t>.</w:t>
      </w:r>
      <w:r w:rsidR="00700CD8">
        <w:t xml:space="preserve"> To bring this about it is important that local and regional government is involved in the consultation</w:t>
      </w:r>
      <w:r w:rsidR="009D0A96">
        <w:t>, and the consultation is expressed in language that local authorities are understand.</w:t>
      </w:r>
    </w:p>
    <w:p w14:paraId="172E5F4B" w14:textId="13BBFEBA" w:rsidR="00A04702" w:rsidRDefault="00A04702" w:rsidP="00A04702">
      <w:r w:rsidRPr="001F3278">
        <w:t>We have limited our response</w:t>
      </w:r>
      <w:r>
        <w:t>s</w:t>
      </w:r>
      <w:r w:rsidRPr="001F3278">
        <w:t xml:space="preserve"> to issues on which we have case studies or relevant examples. </w:t>
      </w:r>
      <w:r w:rsidR="009D0A96">
        <w:t xml:space="preserve">Several councils, </w:t>
      </w:r>
      <w:r w:rsidR="005D775C">
        <w:t xml:space="preserve">working closely with UK Power Networks, </w:t>
      </w:r>
      <w:r w:rsidR="009D0A96">
        <w:t xml:space="preserve">are developing Local Area Energy Plans to plan investment into heat and decentralised power opportunities. </w:t>
      </w:r>
      <w:r w:rsidRPr="001F3278">
        <w:t xml:space="preserve">But one general point is that the consultation appears to be focussed on adjusting the market mechanisms </w:t>
      </w:r>
      <w:r w:rsidRPr="001F3278">
        <w:rPr>
          <w:i/>
          <w:iCs/>
        </w:rPr>
        <w:t>as they are now,</w:t>
      </w:r>
      <w:r w:rsidRPr="001F3278">
        <w:t xml:space="preserve"> and is locked into concepts like </w:t>
      </w:r>
      <w:r>
        <w:t xml:space="preserve">liquidity, </w:t>
      </w:r>
      <w:r w:rsidR="00700CD8">
        <w:t xml:space="preserve">flexibility, </w:t>
      </w:r>
      <w:r w:rsidRPr="001F3278">
        <w:t xml:space="preserve">half hourly </w:t>
      </w:r>
      <w:r>
        <w:t>settlements</w:t>
      </w:r>
      <w:r w:rsidRPr="001F3278">
        <w:t xml:space="preserve">, capacity markets, competition amongst generators, </w:t>
      </w:r>
      <w:r>
        <w:t>locational pricing, and the Review is agnostic between technologies.</w:t>
      </w:r>
      <w:r w:rsidRPr="001F3278">
        <w:t xml:space="preserve"> </w:t>
      </w:r>
      <w:r>
        <w:t>W</w:t>
      </w:r>
      <w:r w:rsidRPr="001F3278">
        <w:t xml:space="preserve">e </w:t>
      </w:r>
      <w:r>
        <w:t xml:space="preserve">understand this makes the new arrangements easier for existing market participants. But we </w:t>
      </w:r>
      <w:r w:rsidR="005D775C">
        <w:t xml:space="preserve">should </w:t>
      </w:r>
      <w:r>
        <w:t>guard against locking out potential new business models. The review needs to be less technology agnostic and consider realistic supply and demand investments that are likely to be made between now and 2035 when the grid is decarbonised.</w:t>
      </w:r>
    </w:p>
    <w:p w14:paraId="690A875A" w14:textId="77777777" w:rsidR="00A04702" w:rsidRDefault="00A04702" w:rsidP="00A04702">
      <w:pPr>
        <w:tabs>
          <w:tab w:val="left" w:pos="3828"/>
        </w:tabs>
      </w:pPr>
      <w:r>
        <w:t>As presently written the Review seems to be aimed at incumbent electricity market participants and uses language and concepts that are unfamiliar to consumers and local government who we believe will be important players. The Review needs to adapt its language and engage with demand-side, decentralised heat and power and EV operators if it is to fulfil its objective of developing market arrangements are expected to endure till 2035 when the grid is fully decarbonised.</w:t>
      </w:r>
    </w:p>
    <w:p w14:paraId="53F76FFF" w14:textId="77777777" w:rsidR="00A04702" w:rsidRPr="001F3278" w:rsidRDefault="00A04702" w:rsidP="00A04702">
      <w:pPr>
        <w:tabs>
          <w:tab w:val="left" w:pos="3828"/>
        </w:tabs>
      </w:pPr>
      <w:r>
        <w:lastRenderedPageBreak/>
        <w:t>We would also advocate the Review undertaking an outreach exercise with local government, district heating / cooling and EV operators to understand the specific problems they face interacting with the electricity market, and what services they might offer in future.</w:t>
      </w:r>
    </w:p>
    <w:p w14:paraId="28048B94" w14:textId="77777777" w:rsidR="00A04702" w:rsidRDefault="00A04702" w:rsidP="00D94995">
      <w:pPr>
        <w:pStyle w:val="Heading2"/>
      </w:pPr>
    </w:p>
    <w:p w14:paraId="1BC4C274" w14:textId="2D5EB952" w:rsidR="0073553F" w:rsidRDefault="005D775C" w:rsidP="0073553F">
      <w:pPr>
        <w:pStyle w:val="Heading2"/>
      </w:pPr>
      <w:r>
        <w:t>Background</w:t>
      </w:r>
      <w:bookmarkStart w:id="1" w:name="_GoBack"/>
      <w:bookmarkEnd w:id="1"/>
    </w:p>
    <w:p w14:paraId="6BD7E598" w14:textId="29DBC034" w:rsidR="0073553F" w:rsidRPr="0073553F" w:rsidRDefault="00D94995" w:rsidP="0073553F">
      <w:r w:rsidRPr="001F3278">
        <w:t>London Boroughs &amp; GLA have declared climate emergencies and are seeking to become net zero ahead of the UK target</w:t>
      </w:r>
      <w:r>
        <w:t xml:space="preserve"> date of 2050</w:t>
      </w:r>
      <w:r w:rsidRPr="001F3278">
        <w:t xml:space="preserve">. </w:t>
      </w:r>
      <w:r>
        <w:t xml:space="preserve">London boroughs </w:t>
      </w:r>
      <w:r w:rsidRPr="001F3278">
        <w:t xml:space="preserve">have organised their efforts over seven programmes, three of these </w:t>
      </w:r>
      <w:r>
        <w:t>–</w:t>
      </w:r>
      <w:r w:rsidRPr="001F3278">
        <w:t xml:space="preserve"> </w:t>
      </w:r>
      <w:r w:rsidR="00F16FE0">
        <w:t xml:space="preserve">1) </w:t>
      </w:r>
      <w:r>
        <w:t xml:space="preserve">retrofitting London’s </w:t>
      </w:r>
      <w:r w:rsidRPr="001F3278">
        <w:t xml:space="preserve">building stock, </w:t>
      </w:r>
      <w:r w:rsidR="00F16FE0">
        <w:t xml:space="preserve">2) </w:t>
      </w:r>
      <w:r w:rsidRPr="001F3278">
        <w:t xml:space="preserve">increasing the use of renewable energy and </w:t>
      </w:r>
      <w:r w:rsidR="00134751">
        <w:t xml:space="preserve">3) </w:t>
      </w:r>
      <w:r>
        <w:t xml:space="preserve">halving usage of petrol (through </w:t>
      </w:r>
      <w:r w:rsidRPr="001F3278">
        <w:t>the orderly provision of EV charging infrastructure</w:t>
      </w:r>
      <w:r>
        <w:t>)</w:t>
      </w:r>
      <w:r w:rsidRPr="001F3278">
        <w:t xml:space="preserve"> – are impacted by proposals </w:t>
      </w:r>
      <w:r>
        <w:t>considered by this Review</w:t>
      </w:r>
      <w:r w:rsidRPr="001F3278">
        <w:t>.</w:t>
      </w:r>
    </w:p>
    <w:p w14:paraId="642B5687" w14:textId="2E64CB4C" w:rsidR="00536B60" w:rsidRPr="00536B60" w:rsidRDefault="00536B60" w:rsidP="00D94995">
      <w:pPr>
        <w:tabs>
          <w:tab w:val="left" w:pos="3828"/>
        </w:tabs>
        <w:rPr>
          <w:i/>
          <w:iCs/>
        </w:rPr>
      </w:pPr>
      <w:r w:rsidRPr="00536B60">
        <w:rPr>
          <w:i/>
          <w:iCs/>
        </w:rPr>
        <w:t>Changing electricity usage in London</w:t>
      </w:r>
    </w:p>
    <w:p w14:paraId="7AFBD146" w14:textId="27BE4757" w:rsidR="00D94995" w:rsidRPr="001F3278" w:rsidRDefault="00D94995" w:rsidP="00D94995">
      <w:pPr>
        <w:tabs>
          <w:tab w:val="left" w:pos="3828"/>
        </w:tabs>
      </w:pPr>
      <w:r>
        <w:t>The electrification of heating will be a major driver for increasing electricity consumption in London. At present, h</w:t>
      </w:r>
      <w:r w:rsidRPr="001F3278">
        <w:t xml:space="preserve">ouseholds use </w:t>
      </w:r>
      <w:r>
        <w:t xml:space="preserve">more than </w:t>
      </w:r>
      <w:r w:rsidRPr="001F3278">
        <w:t xml:space="preserve">twice as much energy in the form of gas as they do electricity. Over the coming </w:t>
      </w:r>
      <w:r w:rsidR="006A6642">
        <w:t>two decades</w:t>
      </w:r>
      <w:r w:rsidR="00A22DE3">
        <w:t>,</w:t>
      </w:r>
      <w:r w:rsidRPr="001F3278">
        <w:t xml:space="preserve"> </w:t>
      </w:r>
      <w:r>
        <w:t xml:space="preserve">London will </w:t>
      </w:r>
      <w:r w:rsidRPr="001F3278">
        <w:t xml:space="preserve">transition </w:t>
      </w:r>
      <w:r>
        <w:t>away from gas</w:t>
      </w:r>
      <w:r w:rsidRPr="001F3278">
        <w:t xml:space="preserve">. </w:t>
      </w:r>
      <w:r>
        <w:t xml:space="preserve">The approach will be to take </w:t>
      </w:r>
      <w:r w:rsidRPr="001F3278">
        <w:t xml:space="preserve">a building envelope first, then low-cost/low-carbon heating to decarbonising </w:t>
      </w:r>
      <w:r>
        <w:t>heating</w:t>
      </w:r>
      <w:r w:rsidRPr="001F3278">
        <w:t xml:space="preserve">. We envisage </w:t>
      </w:r>
      <w:r w:rsidR="00A22DE3">
        <w:t>future</w:t>
      </w:r>
      <w:r w:rsidRPr="001F3278">
        <w:t xml:space="preserve"> heat </w:t>
      </w:r>
      <w:r w:rsidR="00A22DE3">
        <w:t>to</w:t>
      </w:r>
      <w:r w:rsidRPr="001F3278">
        <w:t xml:space="preserve"> be supplied </w:t>
      </w:r>
      <w:r>
        <w:t xml:space="preserve">either </w:t>
      </w:r>
      <w:r w:rsidRPr="001F3278">
        <w:t xml:space="preserve">from </w:t>
      </w:r>
      <w:r>
        <w:t xml:space="preserve">electrification </w:t>
      </w:r>
      <w:r w:rsidR="006A6642">
        <w:t>(</w:t>
      </w:r>
      <w:r>
        <w:t xml:space="preserve">e.g. </w:t>
      </w:r>
      <w:r w:rsidRPr="001F3278">
        <w:t>heat pumps</w:t>
      </w:r>
      <w:r w:rsidR="006A6642">
        <w:t>),</w:t>
      </w:r>
      <w:r w:rsidRPr="001F3278">
        <w:t xml:space="preserve"> </w:t>
      </w:r>
      <w:r>
        <w:t xml:space="preserve">or from </w:t>
      </w:r>
      <w:r w:rsidRPr="001F3278">
        <w:t>innovative forms of district heat networks</w:t>
      </w:r>
      <w:r>
        <w:t xml:space="preserve">, often managed by local </w:t>
      </w:r>
      <w:r w:rsidR="00134751">
        <w:t>authorities</w:t>
      </w:r>
      <w:r w:rsidRPr="001F3278">
        <w:t>.</w:t>
      </w:r>
      <w:r>
        <w:t xml:space="preserve"> Changes introduced through </w:t>
      </w:r>
      <w:r w:rsidR="0073553F">
        <w:t xml:space="preserve">REMA </w:t>
      </w:r>
      <w:r>
        <w:t xml:space="preserve">need to </w:t>
      </w:r>
      <w:r w:rsidR="00D00D65">
        <w:t xml:space="preserve">focus on </w:t>
      </w:r>
      <w:r w:rsidR="0073553F">
        <w:t xml:space="preserve">the challenges of </w:t>
      </w:r>
      <w:r w:rsidR="00D00D65">
        <w:t xml:space="preserve">minimising </w:t>
      </w:r>
      <w:r w:rsidR="00456146">
        <w:t xml:space="preserve">the </w:t>
      </w:r>
      <w:r>
        <w:t xml:space="preserve">cost of heat </w:t>
      </w:r>
      <w:r w:rsidR="0073553F">
        <w:t xml:space="preserve">electrification </w:t>
      </w:r>
      <w:r w:rsidR="00E30870">
        <w:t xml:space="preserve">and the </w:t>
      </w:r>
      <w:r w:rsidR="0073553F">
        <w:t xml:space="preserve">ensure a level playing field for investment in the </w:t>
      </w:r>
      <w:r w:rsidR="00E30870">
        <w:t xml:space="preserve">major strategic </w:t>
      </w:r>
      <w:proofErr w:type="gramStart"/>
      <w:r w:rsidR="0073553F">
        <w:t>alternatives</w:t>
      </w:r>
      <w:proofErr w:type="gramEnd"/>
      <w:r w:rsidR="0073553F">
        <w:t xml:space="preserve"> </w:t>
      </w:r>
      <w:r w:rsidR="0060564A">
        <w:t xml:space="preserve">energy </w:t>
      </w:r>
      <w:r w:rsidR="0073553F">
        <w:t xml:space="preserve">storage, </w:t>
      </w:r>
      <w:r w:rsidR="00E30870">
        <w:t xml:space="preserve">district heating, insulation and </w:t>
      </w:r>
      <w:r w:rsidR="00412428">
        <w:t>electrification</w:t>
      </w:r>
      <w:r>
        <w:t>.</w:t>
      </w:r>
    </w:p>
    <w:p w14:paraId="57D7F3AB" w14:textId="315B96CA" w:rsidR="00D94995" w:rsidRPr="001F3278" w:rsidRDefault="00D94995" w:rsidP="00D94995">
      <w:pPr>
        <w:tabs>
          <w:tab w:val="left" w:pos="3828"/>
        </w:tabs>
      </w:pPr>
      <w:r w:rsidRPr="001F3278">
        <w:t>London hosts several large net-zero embedded generators. These include four energy from waste (EfW) sites, power production from sewage treatment works (STWs)</w:t>
      </w:r>
      <w:r>
        <w:t xml:space="preserve"> and countless household and commercial PV installations. </w:t>
      </w:r>
      <w:r w:rsidRPr="001F3278">
        <w:t xml:space="preserve">The construction </w:t>
      </w:r>
      <w:r w:rsidR="00412428">
        <w:t xml:space="preserve">of these facilities </w:t>
      </w:r>
      <w:r w:rsidRPr="001F3278">
        <w:t xml:space="preserve">was supported by policy instruments like the </w:t>
      </w:r>
      <w:proofErr w:type="spellStart"/>
      <w:r>
        <w:t>CfD</w:t>
      </w:r>
      <w:proofErr w:type="spellEnd"/>
      <w:r>
        <w:t xml:space="preserve">, feed-in-tariffs and </w:t>
      </w:r>
      <w:r w:rsidRPr="001F3278">
        <w:t>renewable obligation.</w:t>
      </w:r>
      <w:r>
        <w:t xml:space="preserve"> These contracts are time limited and it is important that operators are incentivised to maintain and operate these facilities after subsidised tariff rates cease and move to market determined prices.</w:t>
      </w:r>
    </w:p>
    <w:p w14:paraId="50A91BD7" w14:textId="61A6AF5F" w:rsidR="00A04702" w:rsidRDefault="00A04702" w:rsidP="00A04702">
      <w:pPr>
        <w:tabs>
          <w:tab w:val="left" w:pos="3828"/>
        </w:tabs>
      </w:pPr>
      <w:r>
        <w:t xml:space="preserve">Local councils are facilitating the development of EV charging networks, working through EV charging operators. We are helping develop inter-operability standards across different operators. EV penetration in London currently stands at around 67,500 vehicles. London’s DNO UK Power Networks assumes this figure will rise to 750,000 vehicles by 2027/28 (the end of the RIIO-ED2 planning period). If this happens, some 37.5 </w:t>
      </w:r>
      <w:proofErr w:type="spellStart"/>
      <w:r>
        <w:t>TWh</w:t>
      </w:r>
      <w:proofErr w:type="spellEnd"/>
      <w:r>
        <w:t xml:space="preserve"> of battery storage will become available for flexible charging and Vehicle to Grid (V2G) services. This storage capacity </w:t>
      </w:r>
      <w:r>
        <w:rPr>
          <w:u w:val="single"/>
        </w:rPr>
        <w:t xml:space="preserve">is equivalent to around half a day’s London’s annual power consumption (34,000 </w:t>
      </w:r>
      <w:proofErr w:type="spellStart"/>
      <w:r>
        <w:rPr>
          <w:u w:val="single"/>
        </w:rPr>
        <w:t>TWh</w:t>
      </w:r>
      <w:proofErr w:type="spellEnd"/>
      <w:r>
        <w:rPr>
          <w:u w:val="single"/>
        </w:rPr>
        <w:t>)</w:t>
      </w:r>
      <w:r>
        <w:t>. If even a few per cent of this capacity (375 GWh) can be accessed by a system operator for balancing purposes it would make an important contribution to balancing intra-day fluctuation in demand. This is an unprecedented resource for future systems operators.</w:t>
      </w:r>
    </w:p>
    <w:p w14:paraId="44622EF2" w14:textId="77777777" w:rsidR="007569B2" w:rsidRDefault="007569B2" w:rsidP="00D94995">
      <w:pPr>
        <w:tabs>
          <w:tab w:val="left" w:pos="3828"/>
        </w:tabs>
      </w:pPr>
    </w:p>
    <w:p w14:paraId="4DB9DED3" w14:textId="77777777" w:rsidR="004223BC" w:rsidRDefault="00AE5FF6" w:rsidP="00824D44">
      <w:pPr>
        <w:rPr>
          <w:i/>
          <w:iCs/>
        </w:rPr>
      </w:pPr>
      <w:r w:rsidRPr="004223BC">
        <w:rPr>
          <w:i/>
          <w:iCs/>
        </w:rPr>
        <w:t xml:space="preserve">Decentralised and digitalised </w:t>
      </w:r>
      <w:r w:rsidR="009F2276" w:rsidRPr="004223BC">
        <w:rPr>
          <w:i/>
          <w:iCs/>
        </w:rPr>
        <w:t>energy grids</w:t>
      </w:r>
    </w:p>
    <w:p w14:paraId="1F66F114" w14:textId="0C9B3E85" w:rsidR="005A4683" w:rsidRDefault="00FE113C" w:rsidP="00824D44">
      <w:r>
        <w:t xml:space="preserve">We </w:t>
      </w:r>
      <w:r w:rsidRPr="001F3278">
        <w:t xml:space="preserve">believe there to be </w:t>
      </w:r>
      <w:r>
        <w:t xml:space="preserve">very substantial </w:t>
      </w:r>
      <w:r w:rsidRPr="001F3278">
        <w:t xml:space="preserve">scope for EVs </w:t>
      </w:r>
      <w:r>
        <w:t xml:space="preserve">and </w:t>
      </w:r>
      <w:r w:rsidR="006B6D29">
        <w:t xml:space="preserve">flexible use of </w:t>
      </w:r>
      <w:r w:rsidR="001A5497">
        <w:t>heat pump</w:t>
      </w:r>
      <w:r w:rsidR="006B6D29">
        <w:t>/thermal stores</w:t>
      </w:r>
      <w:r w:rsidR="001A5497">
        <w:t xml:space="preserve"> </w:t>
      </w:r>
      <w:r w:rsidRPr="001F3278">
        <w:t xml:space="preserve">to </w:t>
      </w:r>
      <w:r>
        <w:t xml:space="preserve">undertake </w:t>
      </w:r>
      <w:r w:rsidRPr="001F3278">
        <w:t xml:space="preserve">intra-day balancing if </w:t>
      </w:r>
      <w:r>
        <w:t>suitably encouraged by the market design</w:t>
      </w:r>
      <w:r w:rsidRPr="001F3278">
        <w:t xml:space="preserve">. </w:t>
      </w:r>
      <w:r w:rsidR="005A4683">
        <w:t>This could be a seismic change in the way system operators manage energy use, relying o</w:t>
      </w:r>
      <w:r w:rsidR="00036ED6">
        <w:t>n</w:t>
      </w:r>
      <w:r w:rsidR="005A4683">
        <w:t xml:space="preserve"> highly decentralised, embedded, small suppliers of storage and flexibility. </w:t>
      </w:r>
      <w:r w:rsidR="00824D44">
        <w:t>A future digitalised electricity market will need real time monitoring of networks, localised controls of devices and AI driven local forecasting to manage localised flexible demand (e.g. from heat pumps with thermal storage) and battery storage.</w:t>
      </w:r>
    </w:p>
    <w:p w14:paraId="5D122925" w14:textId="7AACFEFC" w:rsidR="00824D44" w:rsidRPr="005D621E" w:rsidRDefault="00FE113C" w:rsidP="005D621E">
      <w:r>
        <w:t xml:space="preserve">In such a </w:t>
      </w:r>
      <w:r w:rsidRPr="001F3278">
        <w:t xml:space="preserve">world many of the issues discussed in the </w:t>
      </w:r>
      <w:r w:rsidR="00441293">
        <w:t xml:space="preserve">Review document </w:t>
      </w:r>
      <w:r>
        <w:t xml:space="preserve">are </w:t>
      </w:r>
      <w:r w:rsidR="00441293">
        <w:t xml:space="preserve">we believe </w:t>
      </w:r>
      <w:r>
        <w:t xml:space="preserve">of second order importance. The most important challenge </w:t>
      </w:r>
      <w:r w:rsidR="00C76523">
        <w:t>is</w:t>
      </w:r>
      <w:r w:rsidRPr="001F3278">
        <w:t xml:space="preserve"> </w:t>
      </w:r>
      <w:r w:rsidR="006305C2">
        <w:t xml:space="preserve">facilitating the </w:t>
      </w:r>
      <w:r w:rsidR="00776678">
        <w:t>swift entry of decentralised and digitalised energy management. This is a different challenge to previous decades</w:t>
      </w:r>
      <w:r w:rsidR="00C10255">
        <w:t xml:space="preserve">. The Review needs to foster new entrants with </w:t>
      </w:r>
      <w:r w:rsidRPr="001F3278">
        <w:lastRenderedPageBreak/>
        <w:t>user friendly interfaces</w:t>
      </w:r>
      <w:r w:rsidR="00441293">
        <w:t xml:space="preserve"> to assist </w:t>
      </w:r>
      <w:r w:rsidR="00C64CEF">
        <w:t>consumer adoption</w:t>
      </w:r>
      <w:r>
        <w:t>,</w:t>
      </w:r>
      <w:r w:rsidRPr="001F3278">
        <w:t xml:space="preserve"> standardised products and simplified procedures </w:t>
      </w:r>
      <w:r>
        <w:t xml:space="preserve">so that </w:t>
      </w:r>
      <w:r w:rsidRPr="001F3278">
        <w:t xml:space="preserve">people and offices who do not consider themselves as ‘participants in the electrical markets’ </w:t>
      </w:r>
      <w:r>
        <w:t xml:space="preserve">can plug-and-play their </w:t>
      </w:r>
      <w:r w:rsidRPr="001F3278">
        <w:t>cars</w:t>
      </w:r>
      <w:r w:rsidR="005E037F">
        <w:t>, heat pumps</w:t>
      </w:r>
      <w:r w:rsidRPr="001F3278">
        <w:t xml:space="preserve"> and ACs</w:t>
      </w:r>
      <w:r>
        <w:t xml:space="preserve"> into supplying grid services</w:t>
      </w:r>
      <w:r w:rsidRPr="001F3278">
        <w:t>.</w:t>
      </w:r>
      <w:r w:rsidR="001C48D1" w:rsidRPr="001C48D1">
        <w:t xml:space="preserve"> </w:t>
      </w:r>
      <w:r w:rsidR="001C48D1">
        <w:t>We are interested in ensuring that the Review fully consider and engage with the demand side, and EV operators to ensure they can enter the market and supply balancing and ancillary services – since they may be lower cost than traditional suppliers.</w:t>
      </w:r>
    </w:p>
    <w:p w14:paraId="6F46E324" w14:textId="77777777" w:rsidR="00C64CEF" w:rsidRDefault="00C64CEF" w:rsidP="00FA2B02">
      <w:pPr>
        <w:tabs>
          <w:tab w:val="left" w:pos="3828"/>
        </w:tabs>
        <w:rPr>
          <w:i/>
          <w:iCs/>
        </w:rPr>
      </w:pPr>
    </w:p>
    <w:p w14:paraId="1FF67A23" w14:textId="60D26B75" w:rsidR="00C64CEF" w:rsidRPr="00C64CEF" w:rsidRDefault="00B9036D" w:rsidP="00FA2B02">
      <w:pPr>
        <w:tabs>
          <w:tab w:val="left" w:pos="3828"/>
        </w:tabs>
        <w:rPr>
          <w:i/>
          <w:iCs/>
        </w:rPr>
      </w:pPr>
      <w:r w:rsidRPr="00C64CEF">
        <w:rPr>
          <w:i/>
          <w:iCs/>
        </w:rPr>
        <w:t>Energy affordability</w:t>
      </w:r>
      <w:r w:rsidR="00F87492">
        <w:rPr>
          <w:i/>
          <w:iCs/>
        </w:rPr>
        <w:t xml:space="preserve">: </w:t>
      </w:r>
      <w:r w:rsidR="00333336">
        <w:rPr>
          <w:i/>
          <w:iCs/>
        </w:rPr>
        <w:t xml:space="preserve">backup </w:t>
      </w:r>
      <w:r w:rsidR="00F87492">
        <w:rPr>
          <w:i/>
          <w:iCs/>
        </w:rPr>
        <w:t xml:space="preserve">generation or </w:t>
      </w:r>
      <w:r w:rsidR="00773500">
        <w:rPr>
          <w:i/>
          <w:iCs/>
        </w:rPr>
        <w:t>storage?</w:t>
      </w:r>
    </w:p>
    <w:p w14:paraId="09D1EAFA" w14:textId="4D684267" w:rsidR="00D94995" w:rsidRPr="001F3278" w:rsidRDefault="00D94995" w:rsidP="00FA2B02">
      <w:pPr>
        <w:tabs>
          <w:tab w:val="left" w:pos="3828"/>
        </w:tabs>
      </w:pPr>
      <w:r w:rsidRPr="001F3278">
        <w:t>Fuel poverty is a</w:t>
      </w:r>
      <w:r w:rsidR="00710105">
        <w:t>n</w:t>
      </w:r>
      <w:r w:rsidRPr="001F3278">
        <w:t xml:space="preserve"> </w:t>
      </w:r>
      <w:r w:rsidR="00710105">
        <w:t xml:space="preserve">important </w:t>
      </w:r>
      <w:r w:rsidRPr="001F3278">
        <w:t xml:space="preserve">political issue in London. At present, the wholesale price </w:t>
      </w:r>
      <w:r>
        <w:t xml:space="preserve">per kWh </w:t>
      </w:r>
      <w:r w:rsidRPr="001F3278">
        <w:t xml:space="preserve">of electricity is around three times that of gas, so a transition from gas to electricity could easily worsen affordability. The benefit case for heat pumps </w:t>
      </w:r>
      <w:r>
        <w:t xml:space="preserve">compared to gas </w:t>
      </w:r>
      <w:r w:rsidRPr="001F3278">
        <w:t xml:space="preserve">hinges </w:t>
      </w:r>
      <w:r>
        <w:t xml:space="preserve">on </w:t>
      </w:r>
      <w:r w:rsidRPr="001F3278">
        <w:t xml:space="preserve">the average seasonal coefficient of performance </w:t>
      </w:r>
      <w:r>
        <w:t xml:space="preserve">(COP) </w:t>
      </w:r>
      <w:r w:rsidRPr="001F3278">
        <w:t xml:space="preserve">of heat pumps. If </w:t>
      </w:r>
      <w:r>
        <w:t xml:space="preserve">this COP </w:t>
      </w:r>
      <w:r w:rsidRPr="001F3278">
        <w:t>is worse than 3</w:t>
      </w:r>
      <w:r>
        <w:t>,</w:t>
      </w:r>
      <w:r w:rsidRPr="001F3278">
        <w:t xml:space="preserve"> switching from gas to heat pumps will not reduce energy costs and will </w:t>
      </w:r>
      <w:r>
        <w:t xml:space="preserve">worsen fuel poverty, a real concern in homes where </w:t>
      </w:r>
      <w:r w:rsidRPr="001F3278">
        <w:t>the building heating system is not optimised for use of heat pumps.</w:t>
      </w:r>
    </w:p>
    <w:p w14:paraId="36481874" w14:textId="29ED7895" w:rsidR="00D94995" w:rsidRDefault="00D94995" w:rsidP="00D94995">
      <w:r w:rsidRPr="001F3278">
        <w:t xml:space="preserve">It is important that the </w:t>
      </w:r>
      <w:r w:rsidR="00B14723">
        <w:t xml:space="preserve">REMA </w:t>
      </w:r>
      <w:r w:rsidRPr="001F3278">
        <w:t>incentivises changes to the energy system that reduce the overall burden of spending on energy. This means incentivising all aspects of the energy system</w:t>
      </w:r>
      <w:r>
        <w:t xml:space="preserve"> to work in tandem,</w:t>
      </w:r>
      <w:r w:rsidRPr="001F3278">
        <w:t xml:space="preserve"> exploiting opportunities in heat supply and storage, decentralised electricity generation, energy efficiency and </w:t>
      </w:r>
      <w:r w:rsidR="00CD565A">
        <w:t xml:space="preserve">V2G </w:t>
      </w:r>
      <w:r w:rsidRPr="001F3278">
        <w:t xml:space="preserve">solutions. </w:t>
      </w:r>
      <w:r w:rsidR="00FC4C3A">
        <w:t>L</w:t>
      </w:r>
      <w:r>
        <w:t xml:space="preserve">east cost </w:t>
      </w:r>
      <w:r w:rsidR="00FC4C3A">
        <w:t xml:space="preserve">might mean </w:t>
      </w:r>
      <w:r w:rsidR="00FC4C3A" w:rsidRPr="00FC4C3A">
        <w:rPr>
          <w:i/>
          <w:iCs/>
        </w:rPr>
        <w:t>not</w:t>
      </w:r>
      <w:r w:rsidR="00FC4C3A">
        <w:t xml:space="preserve"> </w:t>
      </w:r>
      <w:r>
        <w:t xml:space="preserve">investing in new backup generation plant, </w:t>
      </w:r>
      <w:r w:rsidR="00FC4C3A">
        <w:t xml:space="preserve">and instead investing in </w:t>
      </w:r>
      <w:r>
        <w:t>long term power storage, and even long</w:t>
      </w:r>
      <w:r w:rsidR="005D621E">
        <w:t>-</w:t>
      </w:r>
      <w:r>
        <w:t xml:space="preserve">term heat </w:t>
      </w:r>
      <w:r w:rsidR="00BE4099">
        <w:t xml:space="preserve">or cool </w:t>
      </w:r>
      <w:r>
        <w:t>storage.</w:t>
      </w:r>
    </w:p>
    <w:p w14:paraId="50052913" w14:textId="5F84B5CA" w:rsidR="00FC4762" w:rsidRDefault="00D94995" w:rsidP="00D94995">
      <w:r w:rsidRPr="001F3278">
        <w:t>We recognise that the REMA exclud</w:t>
      </w:r>
      <w:r>
        <w:t>es</w:t>
      </w:r>
      <w:r w:rsidRPr="001F3278">
        <w:t xml:space="preserve"> energy efficiency from its scope. However, as the provision of heat becomes electrified it is important to ensure that measures to reduce peak heat </w:t>
      </w:r>
      <w:r>
        <w:t xml:space="preserve">demand by building retrofits </w:t>
      </w:r>
      <w:r w:rsidRPr="001F3278">
        <w:t xml:space="preserve">are </w:t>
      </w:r>
      <w:r>
        <w:t xml:space="preserve">incentivised </w:t>
      </w:r>
      <w:r w:rsidRPr="001F3278">
        <w:t xml:space="preserve">alongside measures to </w:t>
      </w:r>
      <w:r>
        <w:t>create new capacity held in reserve for winter peaks</w:t>
      </w:r>
      <w:r w:rsidRPr="001F3278">
        <w:t>.</w:t>
      </w:r>
      <w:r>
        <w:t xml:space="preserve"> Put simply if it is cheaper for grid operators to insulate people’s homes for free rather than build largely dormant power plant, policy needs to direct capital into retrofit. </w:t>
      </w:r>
      <w:r w:rsidR="00710105" w:rsidRPr="00710105">
        <w:t>Changes from REMA need to ensure that market design encourages such investments.</w:t>
      </w:r>
    </w:p>
    <w:p w14:paraId="0B75C877" w14:textId="77777777" w:rsidR="00C13373" w:rsidRDefault="00C13373" w:rsidP="00D94995"/>
    <w:p w14:paraId="546E5871" w14:textId="77777777" w:rsidR="00EB08D1" w:rsidRDefault="00EB08D1" w:rsidP="00D94995"/>
    <w:p w14:paraId="2E5145C9" w14:textId="30C02C81" w:rsidR="00D94995" w:rsidRPr="001F3278" w:rsidRDefault="00D94995" w:rsidP="00D94995">
      <w:pPr>
        <w:pStyle w:val="Heading2"/>
      </w:pPr>
      <w:r w:rsidRPr="001F3278">
        <w:t>Chapter 1: Context and Objectives</w:t>
      </w:r>
    </w:p>
    <w:p w14:paraId="310149A0" w14:textId="3F61DA5D" w:rsidR="00D94995" w:rsidRPr="00EB08D1" w:rsidRDefault="00D94995" w:rsidP="00EB08D1">
      <w:pPr>
        <w:spacing w:before="100" w:beforeAutospacing="1" w:after="100" w:afterAutospacing="1"/>
        <w:rPr>
          <w:rFonts w:eastAsia="Times New Roman" w:cs="Times New Roman"/>
        </w:rPr>
      </w:pPr>
      <w:r w:rsidRPr="001F3278">
        <w:rPr>
          <w:rFonts w:eastAsia="Times New Roman"/>
          <w:b/>
          <w:bCs/>
        </w:rPr>
        <w:t>Q2: Do you agree with our objectives for electricity market reform (decarbonisation, security of supply, and cost effectiveness)?</w:t>
      </w:r>
    </w:p>
    <w:p w14:paraId="1972438A" w14:textId="4AD14D5A" w:rsidR="00D94995" w:rsidRPr="001F3278" w:rsidRDefault="00D94995" w:rsidP="0010685C">
      <w:r w:rsidRPr="001F3278">
        <w:t>As well as the three objectives listed in the question, smoothing the seasonal demands for electricity demand should be an explicit supplementary objective i.e. dealing with the integration of heat demand into the electricity market</w:t>
      </w:r>
      <w:r w:rsidR="0010685C">
        <w:t xml:space="preserve"> through </w:t>
      </w:r>
      <w:r w:rsidR="0010685C">
        <w:t>encouraging district heating</w:t>
      </w:r>
      <w:r w:rsidR="0010685C">
        <w:t xml:space="preserve">, often with </w:t>
      </w:r>
      <w:r w:rsidR="00EE0D4A">
        <w:t xml:space="preserve">cogeneration </w:t>
      </w:r>
      <w:r w:rsidR="0010685C">
        <w:t xml:space="preserve">systems and the necessary </w:t>
      </w:r>
      <w:r w:rsidR="00EE0D4A">
        <w:t xml:space="preserve">power network </w:t>
      </w:r>
      <w:r w:rsidR="0010685C">
        <w:t>infrastructure changes this would require</w:t>
      </w:r>
      <w:r w:rsidRPr="001F3278">
        <w:t xml:space="preserve">. We regard replacement of winter household gas by electricity (through heat pumps) as a significant potential source of pressure on electricity prices. If peak heat demand is not an explicit focus, the Review will likely recommend solutions that greatly and unnecessarily magnify the electricity capacity rather than solutions that smooth or reduce annual heat demand. </w:t>
      </w:r>
    </w:p>
    <w:p w14:paraId="01DB5768" w14:textId="028134D4" w:rsidR="00FC4762" w:rsidRDefault="00D94995" w:rsidP="00D94995">
      <w:pPr>
        <w:tabs>
          <w:tab w:val="num" w:pos="720"/>
          <w:tab w:val="left" w:pos="3828"/>
        </w:tabs>
      </w:pPr>
      <w:r w:rsidRPr="001F3278">
        <w:t>We also believe the ‘technology agnostic’ discussion overlooks the very different role that different demand sized technologies could play in flexibility, storage and decentralised supply of electricity. Specifically, the analysis needs to consider and plan the role of electric vehicles could play in supplying V2G services and be used to flexibly adjust intra-day demand, balancing and frequency services.</w:t>
      </w:r>
      <w:r w:rsidR="0010685C">
        <w:t xml:space="preserve"> </w:t>
      </w:r>
    </w:p>
    <w:p w14:paraId="405D5C9D" w14:textId="77777777" w:rsidR="00EB08D1" w:rsidRDefault="00EB08D1" w:rsidP="00D94995">
      <w:pPr>
        <w:pStyle w:val="Heading2"/>
      </w:pPr>
    </w:p>
    <w:p w14:paraId="633D566E" w14:textId="66FAD8D5" w:rsidR="00D94995" w:rsidRPr="001F3278" w:rsidRDefault="00D94995" w:rsidP="00D94995">
      <w:pPr>
        <w:pStyle w:val="Heading2"/>
      </w:pPr>
      <w:r w:rsidRPr="001F3278">
        <w:t xml:space="preserve">Chapter 2: </w:t>
      </w:r>
      <w:r>
        <w:t>T</w:t>
      </w:r>
      <w:r w:rsidRPr="001F3278">
        <w:t xml:space="preserve">he </w:t>
      </w:r>
      <w:r>
        <w:t>c</w:t>
      </w:r>
      <w:r w:rsidRPr="001F3278">
        <w:t>ase for change</w:t>
      </w:r>
    </w:p>
    <w:p w14:paraId="4329B5D1" w14:textId="77777777" w:rsidR="00D94995" w:rsidRPr="00EB08D1" w:rsidRDefault="00D94995" w:rsidP="00EB08D1">
      <w:pPr>
        <w:spacing w:before="100" w:beforeAutospacing="1" w:after="100" w:afterAutospacing="1"/>
        <w:rPr>
          <w:rFonts w:eastAsia="Times New Roman"/>
          <w:b/>
          <w:bCs/>
        </w:rPr>
      </w:pPr>
      <w:r w:rsidRPr="00EB08D1">
        <w:rPr>
          <w:rFonts w:eastAsia="Times New Roman"/>
          <w:b/>
          <w:bCs/>
        </w:rPr>
        <w:t xml:space="preserve">Q3: Do you agree with the future challenges of an electricity system that we have identified? Are there further challenges we should consider? Please provide evidence for additional challenges. </w:t>
      </w:r>
    </w:p>
    <w:p w14:paraId="0945D58B" w14:textId="758A7440" w:rsidR="00FC4762" w:rsidRDefault="00D94995" w:rsidP="00D94995">
      <w:pPr>
        <w:tabs>
          <w:tab w:val="left" w:pos="3828"/>
        </w:tabs>
      </w:pPr>
      <w:r w:rsidRPr="001F3278">
        <w:t xml:space="preserve">In 2020, London consumed 34 </w:t>
      </w:r>
      <w:proofErr w:type="spellStart"/>
      <w:r w:rsidRPr="001F3278">
        <w:t>TWh</w:t>
      </w:r>
      <w:proofErr w:type="spellEnd"/>
      <w:r w:rsidRPr="001F3278">
        <w:t xml:space="preserve"> of electricity representing 13 per cent of the UK total. Further, domestic and non-domestic gas consumers used 61 </w:t>
      </w:r>
      <w:proofErr w:type="spellStart"/>
      <w:r w:rsidRPr="001F3278">
        <w:t>TWh</w:t>
      </w:r>
      <w:proofErr w:type="spellEnd"/>
      <w:r w:rsidRPr="001F3278">
        <w:t xml:space="preserve"> of gas. To achieve net zero targets much of this will either become electrified (heat-pumps, infrared heating) or district heating (</w:t>
      </w:r>
      <w:r w:rsidR="00DD3B2F">
        <w:t>using waste heat</w:t>
      </w:r>
      <w:r w:rsidR="00DE6763">
        <w:t xml:space="preserve"> e.g. </w:t>
      </w:r>
      <w:r w:rsidR="00BD0637">
        <w:t xml:space="preserve"> </w:t>
      </w:r>
      <w:r w:rsidR="00DE6763">
        <w:t xml:space="preserve">chilling for </w:t>
      </w:r>
      <w:r w:rsidR="00BD0637">
        <w:t xml:space="preserve">London </w:t>
      </w:r>
      <w:r w:rsidR="00DE6763">
        <w:t>Underground</w:t>
      </w:r>
      <w:r w:rsidRPr="001F3278">
        <w:t xml:space="preserve">) over the coming </w:t>
      </w:r>
      <w:r w:rsidR="00E17A0A">
        <w:t xml:space="preserve">two </w:t>
      </w:r>
      <w:r w:rsidRPr="001F3278">
        <w:t>decade</w:t>
      </w:r>
      <w:r w:rsidR="00E17A0A">
        <w:t>s</w:t>
      </w:r>
      <w:r w:rsidRPr="001F3278">
        <w:t xml:space="preserve">. </w:t>
      </w:r>
    </w:p>
    <w:p w14:paraId="0E918260" w14:textId="310C9B59" w:rsidR="00FC4762" w:rsidRDefault="00D94995" w:rsidP="00D94995">
      <w:pPr>
        <w:tabs>
          <w:tab w:val="left" w:pos="3828"/>
        </w:tabs>
      </w:pPr>
      <w:r w:rsidRPr="001F3278">
        <w:t>Gas consumption is highly seasonal. Across the UK, 40 per cent of final consumers’ gas use occurs in the months of Jan</w:t>
      </w:r>
      <w:r w:rsidR="00E17A0A">
        <w:t xml:space="preserve">uary to </w:t>
      </w:r>
      <w:r w:rsidRPr="001F3278">
        <w:t>Mar</w:t>
      </w:r>
      <w:r w:rsidR="00E17A0A">
        <w:t>ch</w:t>
      </w:r>
      <w:r w:rsidRPr="001F3278">
        <w:t xml:space="preserve">. In 2021, final gas consumers consumed 150,000GWh more in Jan-Mar than in Jun-Aug. This represents </w:t>
      </w:r>
      <w:r w:rsidRPr="00164D4E">
        <w:rPr>
          <w:u w:val="single"/>
        </w:rPr>
        <w:t xml:space="preserve">50GW of power demand </w:t>
      </w:r>
      <w:r w:rsidRPr="001F3278">
        <w:t>that will only be called upon for three months.</w:t>
      </w:r>
    </w:p>
    <w:p w14:paraId="7EDEC8D6" w14:textId="77777777" w:rsidR="00FC4762" w:rsidRDefault="00D94995" w:rsidP="00D94995">
      <w:pPr>
        <w:tabs>
          <w:tab w:val="left" w:pos="3828"/>
        </w:tabs>
      </w:pPr>
      <w:r w:rsidRPr="001F3278">
        <w:t xml:space="preserve">This point is being made since any generation built to serve incremental energy demand for heat pumps will be used for just a few months annually unless electricity market reforms </w:t>
      </w:r>
      <w:r w:rsidRPr="00164D4E">
        <w:rPr>
          <w:i/>
          <w:iCs/>
        </w:rPr>
        <w:t>explicitly consider optimising around the seasonality of heat demand</w:t>
      </w:r>
      <w:r w:rsidRPr="001F3278">
        <w:t>. Meeting this demand with new renewable generation or CCGT with CCUS will greatly increase the generation base and result in a huge increase in capacity mechanism costs and exacerbate the high energy costs that Londoners already face.</w:t>
      </w:r>
    </w:p>
    <w:p w14:paraId="63A614CB" w14:textId="7018EDF3" w:rsidR="00FC4762" w:rsidRDefault="00D94995" w:rsidP="00D94995">
      <w:pPr>
        <w:tabs>
          <w:tab w:val="left" w:pos="3828"/>
        </w:tabs>
      </w:pPr>
      <w:r w:rsidRPr="001F3278">
        <w:t xml:space="preserve">One option to reduce the need for winter heating is to use Aquifer Thermal Energy Storage (ATES) to moderate the electricity demanded for winter heating (and air conditioning) in urban areas. This approach uses the ground source heat pumps to transfer heat and cool from district heating networks that are maintained at a stable </w:t>
      </w:r>
      <w:proofErr w:type="gramStart"/>
      <w:r w:rsidRPr="001F3278">
        <w:t>year round</w:t>
      </w:r>
      <w:proofErr w:type="gramEnd"/>
      <w:r w:rsidRPr="001F3278">
        <w:t xml:space="preserve"> temperature fed by the aquifer. This technology has been applied in Netherlands and Germany</w:t>
      </w:r>
      <w:r w:rsidRPr="001F3278">
        <w:rPr>
          <w:rStyle w:val="FootnoteReference"/>
        </w:rPr>
        <w:footnoteReference w:id="2"/>
      </w:r>
      <w:r w:rsidRPr="001F3278">
        <w:t xml:space="preserve"> and </w:t>
      </w:r>
      <w:r w:rsidR="00535F39">
        <w:t xml:space="preserve">inter-seasonal cooling is </w:t>
      </w:r>
      <w:r w:rsidRPr="001F3278">
        <w:t xml:space="preserve">being </w:t>
      </w:r>
      <w:r w:rsidR="0060564A">
        <w:t xml:space="preserve">developed </w:t>
      </w:r>
      <w:r w:rsidRPr="001F3278">
        <w:t xml:space="preserve">in Islington, London. </w:t>
      </w:r>
      <w:r w:rsidR="0060564A">
        <w:t xml:space="preserve">The </w:t>
      </w:r>
      <w:r w:rsidR="008D35B1">
        <w:t xml:space="preserve">planning and research phase finished in June this year and the project is now in construction. It has relied upon a mixture of grants from central government and the council’s own resources. </w:t>
      </w:r>
      <w:r w:rsidRPr="001F3278">
        <w:t>Here buildings are linked to ambient temperature district heating networks</w:t>
      </w:r>
      <w:r w:rsidR="006A1A2B">
        <w:t xml:space="preserve">. There is also an </w:t>
      </w:r>
      <w:proofErr w:type="spellStart"/>
      <w:r w:rsidR="006A1A2B">
        <w:t>interseasonal</w:t>
      </w:r>
      <w:proofErr w:type="spellEnd"/>
      <w:r w:rsidR="0060564A">
        <w:t>, aquifer based</w:t>
      </w:r>
      <w:r w:rsidR="006A1A2B">
        <w:t xml:space="preserve"> coo</w:t>
      </w:r>
      <w:r w:rsidR="00FF3F72">
        <w:t xml:space="preserve">l water store to </w:t>
      </w:r>
      <w:r w:rsidR="0060564A">
        <w:t xml:space="preserve">provide cooling for the </w:t>
      </w:r>
      <w:r w:rsidRPr="001F3278">
        <w:t>data centre.</w:t>
      </w:r>
    </w:p>
    <w:p w14:paraId="07D22160" w14:textId="26213975" w:rsidR="00D94995" w:rsidRPr="001F3278" w:rsidRDefault="00D94995" w:rsidP="00D94995">
      <w:r w:rsidRPr="001F3278">
        <w:t xml:space="preserve">On the issue of flexibility, policies to electrify road transport over the coming decade creates a vast resource of short-term battery storage (20 million vehicles with batteries of 50 kWh represent 1 </w:t>
      </w:r>
      <w:proofErr w:type="spellStart"/>
      <w:r w:rsidRPr="001F3278">
        <w:t>TWh</w:t>
      </w:r>
      <w:proofErr w:type="spellEnd"/>
      <w:r w:rsidRPr="001F3278">
        <w:t xml:space="preserve"> of potential storage). These vehicles, with the appropriate market signals, and investment by DNOs, could supply many of the intra-day smoothing of half-hourly supply and demand and ancillary services performed by the electricity system operators. We would recommend that much more focus be given to smoothing inter-seasonal demand and facilitating the entry of V2G.</w:t>
      </w:r>
    </w:p>
    <w:p w14:paraId="235713CD" w14:textId="77777777" w:rsidR="00D94995" w:rsidRPr="001F3278" w:rsidRDefault="00D94995" w:rsidP="00D94995">
      <w:pPr>
        <w:spacing w:before="100" w:beforeAutospacing="1" w:after="100" w:afterAutospacing="1"/>
        <w:rPr>
          <w:rFonts w:eastAsia="Times New Roman"/>
          <w:b/>
          <w:bCs/>
        </w:rPr>
      </w:pPr>
      <w:r w:rsidRPr="001F3278">
        <w:rPr>
          <w:rFonts w:eastAsia="Times New Roman"/>
          <w:b/>
          <w:bCs/>
        </w:rPr>
        <w:t>Q7: What should we consider when constructing and assessing packages of options?</w:t>
      </w:r>
    </w:p>
    <w:p w14:paraId="5E9F7497" w14:textId="69923AC6" w:rsidR="00D94995" w:rsidRPr="001F3278" w:rsidRDefault="00D94995" w:rsidP="00D94995">
      <w:pPr>
        <w:spacing w:before="100" w:beforeAutospacing="1" w:after="100" w:afterAutospacing="1"/>
        <w:rPr>
          <w:rFonts w:eastAsia="Times New Roman" w:cs="Times New Roman"/>
        </w:rPr>
      </w:pPr>
      <w:r w:rsidRPr="001F3278">
        <w:rPr>
          <w:rFonts w:eastAsia="Times New Roman"/>
        </w:rPr>
        <w:t xml:space="preserve">For the reasons described above, we consider it important for the </w:t>
      </w:r>
      <w:r w:rsidR="00F3176F">
        <w:rPr>
          <w:rFonts w:eastAsia="Times New Roman"/>
        </w:rPr>
        <w:t>R</w:t>
      </w:r>
      <w:r w:rsidRPr="001F3278">
        <w:rPr>
          <w:rFonts w:eastAsia="Times New Roman"/>
        </w:rPr>
        <w:t xml:space="preserve">eview to focus much more on incorporation of vehicles (and their batteries) and the inter-seasonal heat market and ensuring that relatively small dispatchable power plant like EfW and STWs </w:t>
      </w:r>
      <w:r>
        <w:rPr>
          <w:rFonts w:eastAsia="Times New Roman"/>
        </w:rPr>
        <w:t>continue to be maintained and operated.</w:t>
      </w:r>
    </w:p>
    <w:p w14:paraId="2648ABE2" w14:textId="77777777" w:rsidR="00D94995" w:rsidRPr="0027027F" w:rsidRDefault="00D94995" w:rsidP="00D94995">
      <w:pPr>
        <w:pStyle w:val="Heading2"/>
        <w:rPr>
          <w:sz w:val="24"/>
          <w:szCs w:val="24"/>
        </w:rPr>
      </w:pPr>
      <w:r w:rsidRPr="0027027F">
        <w:rPr>
          <w:sz w:val="24"/>
          <w:szCs w:val="24"/>
        </w:rPr>
        <w:t>Chapter 4: Cross-cutting questions</w:t>
      </w:r>
    </w:p>
    <w:p w14:paraId="4CF6CD93" w14:textId="77777777" w:rsidR="00D94995" w:rsidRPr="0027027F" w:rsidRDefault="00D94995" w:rsidP="00D94995">
      <w:pPr>
        <w:pStyle w:val="NormalWeb"/>
        <w:rPr>
          <w:rFonts w:asciiTheme="minorHAnsi" w:hAnsiTheme="minorHAnsi"/>
          <w:sz w:val="20"/>
          <w:szCs w:val="20"/>
        </w:rPr>
      </w:pPr>
      <w:r w:rsidRPr="0027027F">
        <w:rPr>
          <w:rFonts w:asciiTheme="minorHAnsi" w:hAnsiTheme="minorHAnsi" w:cs="Arial"/>
          <w:b/>
          <w:bCs/>
          <w:sz w:val="20"/>
          <w:szCs w:val="20"/>
        </w:rPr>
        <w:lastRenderedPageBreak/>
        <w:t xml:space="preserve">Q12. How do you think electricity demand reduction should be rewarded in existing or future electricity markets? </w:t>
      </w:r>
    </w:p>
    <w:p w14:paraId="3AC088C4" w14:textId="39F8F5FF" w:rsidR="00D94995" w:rsidRDefault="00D94995" w:rsidP="00D94995">
      <w:pPr>
        <w:spacing w:before="100" w:beforeAutospacing="1" w:after="100" w:afterAutospacing="1"/>
        <w:rPr>
          <w:rFonts w:eastAsia="Times New Roman" w:cs="Times New Roman"/>
        </w:rPr>
      </w:pPr>
      <w:r w:rsidRPr="001F3278">
        <w:rPr>
          <w:rFonts w:eastAsia="Times New Roman" w:cs="Times New Roman"/>
        </w:rPr>
        <w:t>The objective of electricity demand reduction policy should be</w:t>
      </w:r>
      <w:r w:rsidR="00B00585">
        <w:rPr>
          <w:rFonts w:eastAsia="Times New Roman" w:cs="Times New Roman"/>
        </w:rPr>
        <w:t xml:space="preserve"> to</w:t>
      </w:r>
      <w:r w:rsidRPr="001F3278">
        <w:rPr>
          <w:rFonts w:eastAsia="Times New Roman" w:cs="Times New Roman"/>
        </w:rPr>
        <w:t xml:space="preserve"> allow technologies </w:t>
      </w:r>
      <w:r w:rsidR="00B00585">
        <w:rPr>
          <w:rFonts w:eastAsia="Times New Roman" w:cs="Times New Roman"/>
        </w:rPr>
        <w:t xml:space="preserve">which can </w:t>
      </w:r>
      <w:r w:rsidRPr="001F3278">
        <w:rPr>
          <w:rFonts w:eastAsia="Times New Roman" w:cs="Times New Roman"/>
        </w:rPr>
        <w:t xml:space="preserve">reduce peak demand to access capital cheaply, i.e. provide a predictable and bankable payment for demand reduction services they provide. At the moment, the </w:t>
      </w:r>
      <w:r>
        <w:rPr>
          <w:rFonts w:eastAsia="Times New Roman" w:cs="Times New Roman"/>
        </w:rPr>
        <w:t>Review anticipates the use of mechanisms like</w:t>
      </w:r>
      <w:r w:rsidR="00EE0D4A">
        <w:rPr>
          <w:rFonts w:eastAsia="Times New Roman" w:cs="Times New Roman"/>
        </w:rPr>
        <w:t xml:space="preserve"> a</w:t>
      </w:r>
      <w:r>
        <w:rPr>
          <w:rFonts w:eastAsia="Times New Roman" w:cs="Times New Roman"/>
        </w:rPr>
        <w:t xml:space="preserve"> Regulated Asset </w:t>
      </w:r>
      <w:r w:rsidR="00EE0D4A">
        <w:rPr>
          <w:rFonts w:eastAsia="Times New Roman" w:cs="Times New Roman"/>
        </w:rPr>
        <w:t>B</w:t>
      </w:r>
      <w:r>
        <w:rPr>
          <w:rFonts w:eastAsia="Times New Roman" w:cs="Times New Roman"/>
        </w:rPr>
        <w:t xml:space="preserve">ase </w:t>
      </w:r>
      <w:r w:rsidR="00EE0D4A">
        <w:rPr>
          <w:rFonts w:eastAsia="Times New Roman" w:cs="Times New Roman"/>
        </w:rPr>
        <w:t xml:space="preserve">(RAB) mechanism </w:t>
      </w:r>
      <w:r>
        <w:rPr>
          <w:rFonts w:eastAsia="Times New Roman" w:cs="Times New Roman"/>
        </w:rPr>
        <w:t xml:space="preserve">for financing nuclear power stations, power transmission and distribution grids, and </w:t>
      </w:r>
      <w:proofErr w:type="spellStart"/>
      <w:r>
        <w:rPr>
          <w:rFonts w:eastAsia="Times New Roman" w:cs="Times New Roman"/>
        </w:rPr>
        <w:t>CfD</w:t>
      </w:r>
      <w:proofErr w:type="spellEnd"/>
      <w:r>
        <w:rPr>
          <w:rFonts w:eastAsia="Times New Roman" w:cs="Times New Roman"/>
        </w:rPr>
        <w:t xml:space="preserve"> and feed-in tariffs for </w:t>
      </w:r>
      <w:proofErr w:type="gramStart"/>
      <w:r>
        <w:rPr>
          <w:rFonts w:eastAsia="Times New Roman" w:cs="Times New Roman"/>
        </w:rPr>
        <w:t>large and small scale</w:t>
      </w:r>
      <w:proofErr w:type="gramEnd"/>
      <w:r>
        <w:rPr>
          <w:rFonts w:eastAsia="Times New Roman" w:cs="Times New Roman"/>
        </w:rPr>
        <w:t xml:space="preserve"> renewables. Heat networks have similar cost and risk profiles to electricity networks. They are capital intensive and are exposed to volume risks. </w:t>
      </w:r>
      <w:r w:rsidR="00E21AC0">
        <w:rPr>
          <w:rFonts w:eastAsia="Times New Roman" w:cs="Times New Roman"/>
        </w:rPr>
        <w:t>H</w:t>
      </w:r>
      <w:r w:rsidR="00685228">
        <w:rPr>
          <w:rFonts w:eastAsia="Times New Roman" w:cs="Times New Roman"/>
        </w:rPr>
        <w:t xml:space="preserve">eat networks have precarious access to public finance </w:t>
      </w:r>
      <w:r w:rsidR="00E21AC0">
        <w:rPr>
          <w:rFonts w:eastAsia="Times New Roman" w:cs="Times New Roman"/>
        </w:rPr>
        <w:t xml:space="preserve">limiting the rate of their </w:t>
      </w:r>
      <w:r w:rsidR="00183704">
        <w:rPr>
          <w:rFonts w:eastAsia="Times New Roman" w:cs="Times New Roman"/>
        </w:rPr>
        <w:t xml:space="preserve">roll-out. </w:t>
      </w:r>
      <w:r w:rsidR="00E21AC0">
        <w:rPr>
          <w:rFonts w:eastAsia="Times New Roman" w:cs="Times New Roman"/>
        </w:rPr>
        <w:t xml:space="preserve">As heat zoning is introduced it is important that the </w:t>
      </w:r>
      <w:r w:rsidR="00320F15">
        <w:rPr>
          <w:rFonts w:eastAsia="Times New Roman" w:cs="Times New Roman"/>
        </w:rPr>
        <w:t>expansion of the DH networks and heat supply has similar access to finance as electric</w:t>
      </w:r>
      <w:r w:rsidR="00EE0D4A">
        <w:rPr>
          <w:rFonts w:eastAsia="Times New Roman" w:cs="Times New Roman"/>
        </w:rPr>
        <w:t>ity</w:t>
      </w:r>
      <w:r w:rsidR="00320F15">
        <w:rPr>
          <w:rFonts w:eastAsia="Times New Roman" w:cs="Times New Roman"/>
        </w:rPr>
        <w:t xml:space="preserve"> </w:t>
      </w:r>
      <w:r w:rsidR="00EE0D4A">
        <w:rPr>
          <w:rFonts w:eastAsia="Times New Roman" w:cs="Times New Roman"/>
        </w:rPr>
        <w:t xml:space="preserve">equivalents </w:t>
      </w:r>
      <w:r w:rsidR="00D6027C">
        <w:rPr>
          <w:rFonts w:eastAsia="Times New Roman" w:cs="Times New Roman"/>
        </w:rPr>
        <w:t>e.g. through a regulated asset base and capacity payment funding models.</w:t>
      </w:r>
    </w:p>
    <w:p w14:paraId="074B8CF7" w14:textId="753F5A34" w:rsidR="00D94995" w:rsidRPr="00164D4E" w:rsidRDefault="00D94995" w:rsidP="00D94995">
      <w:pPr>
        <w:spacing w:before="100" w:beforeAutospacing="1" w:after="100" w:afterAutospacing="1"/>
        <w:rPr>
          <w:rFonts w:eastAsia="Times New Roman" w:cs="Times New Roman"/>
        </w:rPr>
      </w:pPr>
      <w:r>
        <w:rPr>
          <w:rFonts w:eastAsia="Times New Roman" w:cs="Times New Roman"/>
        </w:rPr>
        <w:t>RHI payments are outside the scope of this Review, but these should be available for recovery of waste heat.</w:t>
      </w:r>
    </w:p>
    <w:p w14:paraId="786B9753" w14:textId="77777777" w:rsidR="00D94995" w:rsidRPr="0027027F" w:rsidRDefault="00D94995" w:rsidP="00D94995">
      <w:pPr>
        <w:pStyle w:val="Heading2"/>
        <w:rPr>
          <w:rFonts w:cs="Times New Roman"/>
          <w:sz w:val="24"/>
          <w:szCs w:val="24"/>
        </w:rPr>
      </w:pPr>
      <w:r w:rsidRPr="0027027F">
        <w:rPr>
          <w:sz w:val="24"/>
          <w:szCs w:val="24"/>
        </w:rPr>
        <w:t>Chapter 5: A net zero wholesale market</w:t>
      </w:r>
    </w:p>
    <w:p w14:paraId="529942D0" w14:textId="77777777" w:rsidR="00D94995" w:rsidRPr="001F3278" w:rsidRDefault="00D94995" w:rsidP="00D94995">
      <w:pPr>
        <w:spacing w:before="100" w:beforeAutospacing="1" w:after="100" w:afterAutospacing="1"/>
        <w:rPr>
          <w:rFonts w:eastAsia="Times New Roman"/>
          <w:b/>
          <w:bCs/>
        </w:rPr>
      </w:pPr>
      <w:r w:rsidRPr="001F3278">
        <w:rPr>
          <w:rFonts w:eastAsia="Times New Roman"/>
          <w:b/>
          <w:bCs/>
        </w:rPr>
        <w:t xml:space="preserve">Q14. Do you agree that we should continue to consider a split wholesale market? </w:t>
      </w:r>
    </w:p>
    <w:p w14:paraId="5CA5028C" w14:textId="37C9E3E1" w:rsidR="00D94995" w:rsidRPr="001F3278" w:rsidRDefault="00D94995" w:rsidP="00D94995">
      <w:pPr>
        <w:spacing w:before="100" w:beforeAutospacing="1" w:after="100" w:afterAutospacing="1"/>
        <w:rPr>
          <w:rFonts w:eastAsia="Times New Roman"/>
        </w:rPr>
      </w:pPr>
      <w:r w:rsidRPr="001F3278">
        <w:rPr>
          <w:rFonts w:eastAsia="Times New Roman"/>
        </w:rPr>
        <w:t xml:space="preserve">Yes. We agree that small scale </w:t>
      </w:r>
      <w:r>
        <w:rPr>
          <w:rFonts w:eastAsia="Times New Roman"/>
        </w:rPr>
        <w:t>“</w:t>
      </w:r>
      <w:r w:rsidRPr="001F3278">
        <w:rPr>
          <w:rFonts w:eastAsia="Times New Roman"/>
        </w:rPr>
        <w:t>as</w:t>
      </w:r>
      <w:r>
        <w:rPr>
          <w:rFonts w:eastAsia="Times New Roman"/>
        </w:rPr>
        <w:t>-</w:t>
      </w:r>
      <w:r w:rsidRPr="001F3278">
        <w:rPr>
          <w:rFonts w:eastAsia="Times New Roman"/>
        </w:rPr>
        <w:t>available</w:t>
      </w:r>
      <w:r>
        <w:rPr>
          <w:rFonts w:eastAsia="Times New Roman"/>
        </w:rPr>
        <w:t>”</w:t>
      </w:r>
      <w:r w:rsidRPr="001F3278">
        <w:rPr>
          <w:rFonts w:eastAsia="Times New Roman"/>
        </w:rPr>
        <w:t xml:space="preserve"> generators should be paid at the</w:t>
      </w:r>
      <w:r w:rsidR="002B5D81">
        <w:rPr>
          <w:rFonts w:eastAsia="Times New Roman"/>
        </w:rPr>
        <w:t>ir</w:t>
      </w:r>
      <w:r w:rsidRPr="001F3278">
        <w:rPr>
          <w:rFonts w:eastAsia="Times New Roman"/>
        </w:rPr>
        <w:t xml:space="preserve"> long run </w:t>
      </w:r>
      <w:r w:rsidR="002B5D81">
        <w:rPr>
          <w:rFonts w:eastAsia="Times New Roman"/>
        </w:rPr>
        <w:t xml:space="preserve">average </w:t>
      </w:r>
      <w:r w:rsidRPr="001F3278">
        <w:rPr>
          <w:rFonts w:eastAsia="Times New Roman"/>
        </w:rPr>
        <w:t xml:space="preserve">cost or the payment agreed under </w:t>
      </w:r>
      <w:proofErr w:type="spellStart"/>
      <w:r w:rsidRPr="001F3278">
        <w:rPr>
          <w:rFonts w:eastAsia="Times New Roman"/>
        </w:rPr>
        <w:t>CfD</w:t>
      </w:r>
      <w:proofErr w:type="spellEnd"/>
      <w:r w:rsidRPr="001F3278">
        <w:rPr>
          <w:rFonts w:eastAsia="Times New Roman"/>
        </w:rPr>
        <w:t xml:space="preserve">/RO.  We also see merit in removing the requirement for the generator to participate in the current wholesale market since this simply increases the revenue risk (through differences in the strike price and the price the generator achieves in the market, as well as exposure to any imbalance charges) and also any costs of operation associated with the balancing and settlement code. </w:t>
      </w:r>
    </w:p>
    <w:p w14:paraId="415F9EA9" w14:textId="704E680C" w:rsidR="00D94995" w:rsidRDefault="00DF72CA" w:rsidP="00D94995">
      <w:pPr>
        <w:spacing w:before="100" w:beforeAutospacing="1" w:after="100" w:afterAutospacing="1"/>
        <w:rPr>
          <w:rFonts w:eastAsia="Times New Roman"/>
        </w:rPr>
      </w:pPr>
      <w:r>
        <w:rPr>
          <w:rFonts w:eastAsia="Times New Roman"/>
        </w:rPr>
        <w:t xml:space="preserve">Another issue is </w:t>
      </w:r>
      <w:r w:rsidR="00D94995" w:rsidRPr="001F3278">
        <w:rPr>
          <w:rFonts w:eastAsia="Times New Roman"/>
        </w:rPr>
        <w:t xml:space="preserve">the price that should be paid </w:t>
      </w:r>
      <w:r w:rsidR="00FD1617">
        <w:rPr>
          <w:rFonts w:eastAsia="Times New Roman"/>
        </w:rPr>
        <w:t xml:space="preserve">for renewable generation after </w:t>
      </w:r>
      <w:r w:rsidR="00D94995" w:rsidRPr="001F3278">
        <w:rPr>
          <w:rFonts w:eastAsia="Times New Roman"/>
        </w:rPr>
        <w:t xml:space="preserve">the end of the RO / </w:t>
      </w:r>
      <w:proofErr w:type="spellStart"/>
      <w:r w:rsidR="00D94995" w:rsidRPr="001F3278">
        <w:rPr>
          <w:rFonts w:eastAsia="Times New Roman"/>
        </w:rPr>
        <w:t>CfD</w:t>
      </w:r>
      <w:proofErr w:type="spellEnd"/>
      <w:r w:rsidR="00D94995" w:rsidRPr="001F3278">
        <w:rPr>
          <w:rFonts w:eastAsia="Times New Roman"/>
        </w:rPr>
        <w:t xml:space="preserve"> agreement period</w:t>
      </w:r>
      <w:r w:rsidR="00D94995">
        <w:rPr>
          <w:rFonts w:eastAsia="Times New Roman"/>
        </w:rPr>
        <w:t>.</w:t>
      </w:r>
      <w:r w:rsidR="00D94995" w:rsidRPr="001F3278">
        <w:rPr>
          <w:rFonts w:eastAsia="Times New Roman"/>
        </w:rPr>
        <w:t xml:space="preserve"> </w:t>
      </w:r>
      <w:r w:rsidR="00D94995">
        <w:rPr>
          <w:rFonts w:eastAsia="Times New Roman"/>
        </w:rPr>
        <w:t xml:space="preserve">We </w:t>
      </w:r>
      <w:r w:rsidR="00D94995" w:rsidRPr="001F3278">
        <w:rPr>
          <w:rFonts w:eastAsia="Times New Roman"/>
        </w:rPr>
        <w:t xml:space="preserve">believe power should continue to be rewarded </w:t>
      </w:r>
      <w:r w:rsidR="00D94995">
        <w:rPr>
          <w:rFonts w:eastAsia="Times New Roman"/>
        </w:rPr>
        <w:t xml:space="preserve">at a fixed price, </w:t>
      </w:r>
      <w:r w:rsidR="00D94995" w:rsidRPr="001F3278">
        <w:rPr>
          <w:rFonts w:eastAsia="Times New Roman"/>
        </w:rPr>
        <w:t>albeit lower price than the old RO/</w:t>
      </w:r>
      <w:proofErr w:type="spellStart"/>
      <w:r w:rsidR="00D94995" w:rsidRPr="001F3278">
        <w:rPr>
          <w:rFonts w:eastAsia="Times New Roman"/>
        </w:rPr>
        <w:t>CfD</w:t>
      </w:r>
      <w:proofErr w:type="spellEnd"/>
      <w:r w:rsidR="00D94995" w:rsidRPr="001F3278">
        <w:rPr>
          <w:rFonts w:eastAsia="Times New Roman"/>
        </w:rPr>
        <w:t xml:space="preserve"> price the facility received. </w:t>
      </w:r>
      <w:r w:rsidR="00FD1617">
        <w:rPr>
          <w:rFonts w:eastAsia="Times New Roman"/>
        </w:rPr>
        <w:t xml:space="preserve">Such an </w:t>
      </w:r>
      <w:r w:rsidR="00D94995" w:rsidRPr="001F3278">
        <w:rPr>
          <w:rFonts w:eastAsia="Times New Roman"/>
        </w:rPr>
        <w:t xml:space="preserve">on-going payment </w:t>
      </w:r>
      <w:r w:rsidR="00FD1617">
        <w:rPr>
          <w:rFonts w:eastAsia="Times New Roman"/>
        </w:rPr>
        <w:t xml:space="preserve">may perhaps be </w:t>
      </w:r>
      <w:r w:rsidR="00D94995" w:rsidRPr="001F3278">
        <w:rPr>
          <w:rFonts w:eastAsia="Times New Roman"/>
        </w:rPr>
        <w:t xml:space="preserve">linked </w:t>
      </w:r>
      <w:r w:rsidR="009E102B">
        <w:rPr>
          <w:rFonts w:eastAsia="Times New Roman"/>
        </w:rPr>
        <w:t xml:space="preserve">(but be less than) the </w:t>
      </w:r>
      <w:proofErr w:type="spellStart"/>
      <w:r w:rsidR="00D94995" w:rsidRPr="001F3278">
        <w:rPr>
          <w:rFonts w:eastAsia="Times New Roman"/>
        </w:rPr>
        <w:t>CfD</w:t>
      </w:r>
      <w:proofErr w:type="spellEnd"/>
      <w:r w:rsidR="00D94995" w:rsidRPr="001F3278">
        <w:rPr>
          <w:rFonts w:eastAsia="Times New Roman"/>
        </w:rPr>
        <w:t xml:space="preserve"> auction prices for recent rounds of the same technology.</w:t>
      </w:r>
    </w:p>
    <w:p w14:paraId="339AA933" w14:textId="5AAF32A3" w:rsidR="00EE0D4A" w:rsidRDefault="00EE0D4A" w:rsidP="00D94995">
      <w:pPr>
        <w:spacing w:before="100" w:beforeAutospacing="1" w:after="100" w:afterAutospacing="1"/>
        <w:rPr>
          <w:rFonts w:eastAsia="Times New Roman"/>
        </w:rPr>
      </w:pPr>
      <w:r>
        <w:rPr>
          <w:rFonts w:eastAsia="Times New Roman"/>
        </w:rPr>
        <w:t>Many customers, including councils and individuals, are interested in financing renewable-only projects through entering long-term Power Purchase Agreement off-take contract and it is important to consider how these will be enabled through any split in the wholesale market.</w:t>
      </w:r>
    </w:p>
    <w:p w14:paraId="0C567F28" w14:textId="77777777" w:rsidR="00D94995" w:rsidRPr="00153CA0" w:rsidRDefault="00D94995" w:rsidP="00D94995">
      <w:pPr>
        <w:spacing w:before="100" w:beforeAutospacing="1" w:after="100" w:afterAutospacing="1"/>
        <w:rPr>
          <w:rFonts w:eastAsia="Times New Roman"/>
          <w:b/>
          <w:bCs/>
        </w:rPr>
      </w:pPr>
      <w:r w:rsidRPr="00153CA0">
        <w:rPr>
          <w:rFonts w:eastAsia="Times New Roman"/>
          <w:b/>
          <w:bCs/>
        </w:rPr>
        <w:t>Q16-18. Nodal and zonal market designs</w:t>
      </w:r>
    </w:p>
    <w:p w14:paraId="6D58D920" w14:textId="7FC05428" w:rsidR="00D94995" w:rsidRPr="001F3278" w:rsidRDefault="00D94995" w:rsidP="00D94995">
      <w:pPr>
        <w:spacing w:before="100" w:beforeAutospacing="1" w:after="100" w:afterAutospacing="1"/>
        <w:rPr>
          <w:rFonts w:eastAsia="Times New Roman"/>
        </w:rPr>
      </w:pPr>
      <w:r>
        <w:rPr>
          <w:rFonts w:eastAsia="Times New Roman"/>
        </w:rPr>
        <w:t xml:space="preserve">We think it a mistake for zonal or nodal pricing to be introduced in the “as-available” market. The price of power from </w:t>
      </w:r>
      <w:proofErr w:type="gramStart"/>
      <w:r>
        <w:rPr>
          <w:rFonts w:eastAsia="Times New Roman"/>
        </w:rPr>
        <w:t>off-shore</w:t>
      </w:r>
      <w:proofErr w:type="gramEnd"/>
      <w:r>
        <w:rPr>
          <w:rFonts w:eastAsia="Times New Roman"/>
        </w:rPr>
        <w:t xml:space="preserve"> wind and solar should be the same price through the UK. The transmission charge already has a locational element. As-available renewables have very low marginal costs and should not be curtailed. Priority should instead be given to investing in the transmission grids to ensure offshore sites are swiftly connected.</w:t>
      </w:r>
    </w:p>
    <w:p w14:paraId="048E984A" w14:textId="77777777" w:rsidR="00D94995" w:rsidRPr="001F3278" w:rsidRDefault="00D94995" w:rsidP="00D94995">
      <w:pPr>
        <w:spacing w:before="100" w:beforeAutospacing="1" w:after="100" w:afterAutospacing="1"/>
        <w:rPr>
          <w:rFonts w:eastAsia="Times New Roman" w:cs="Times New Roman"/>
        </w:rPr>
      </w:pPr>
      <w:r w:rsidRPr="001F3278">
        <w:rPr>
          <w:rFonts w:eastAsia="Times New Roman"/>
          <w:b/>
          <w:bCs/>
        </w:rPr>
        <w:t xml:space="preserve">Q20. Are there other approaches to developing local markets which we have not considered? </w:t>
      </w:r>
    </w:p>
    <w:p w14:paraId="6D750581" w14:textId="77777777" w:rsidR="00D94995" w:rsidRPr="001F3278" w:rsidRDefault="00D94995" w:rsidP="00D94995">
      <w:pPr>
        <w:spacing w:before="100" w:beforeAutospacing="1" w:after="100" w:afterAutospacing="1"/>
        <w:rPr>
          <w:rFonts w:eastAsia="Times New Roman"/>
        </w:rPr>
      </w:pPr>
      <w:r w:rsidRPr="001F3278">
        <w:rPr>
          <w:rFonts w:eastAsia="Times New Roman"/>
        </w:rPr>
        <w:t>We agree with the general principal with local distributional pricing being paid for embedded generators and reflect</w:t>
      </w:r>
      <w:r>
        <w:rPr>
          <w:rFonts w:eastAsia="Times New Roman"/>
        </w:rPr>
        <w:t>ing</w:t>
      </w:r>
      <w:r w:rsidRPr="001F3278">
        <w:rPr>
          <w:rFonts w:eastAsia="Times New Roman"/>
        </w:rPr>
        <w:t xml:space="preserve"> </w:t>
      </w:r>
      <w:r>
        <w:rPr>
          <w:rFonts w:eastAsia="Times New Roman"/>
        </w:rPr>
        <w:t>t</w:t>
      </w:r>
      <w:r w:rsidRPr="001F3278">
        <w:rPr>
          <w:rFonts w:eastAsia="Times New Roman"/>
        </w:rPr>
        <w:t xml:space="preserve">he savings the DSO makes from avoided </w:t>
      </w:r>
      <w:r>
        <w:rPr>
          <w:rFonts w:eastAsia="Times New Roman"/>
        </w:rPr>
        <w:t xml:space="preserve">investment </w:t>
      </w:r>
      <w:r w:rsidRPr="001F3278">
        <w:rPr>
          <w:rFonts w:eastAsia="Times New Roman"/>
        </w:rPr>
        <w:t>costs.</w:t>
      </w:r>
    </w:p>
    <w:p w14:paraId="3D610FAA" w14:textId="77777777" w:rsidR="00D94995" w:rsidRPr="001F3278" w:rsidRDefault="00D94995" w:rsidP="00D94995">
      <w:pPr>
        <w:pStyle w:val="Heading2"/>
      </w:pPr>
      <w:r w:rsidRPr="001F3278">
        <w:t>Chapter 6: Mass low-carbon power</w:t>
      </w:r>
    </w:p>
    <w:p w14:paraId="4FA2B284" w14:textId="77777777" w:rsidR="00D94995" w:rsidRPr="00DA04CA" w:rsidRDefault="00D94995" w:rsidP="00D94995">
      <w:pPr>
        <w:spacing w:before="100" w:beforeAutospacing="1" w:after="100" w:afterAutospacing="1"/>
        <w:rPr>
          <w:rFonts w:eastAsia="Times New Roman" w:cs="Times New Roman"/>
          <w:b/>
          <w:bCs/>
        </w:rPr>
      </w:pPr>
      <w:r w:rsidRPr="00DA04CA">
        <w:rPr>
          <w:rFonts w:eastAsia="Times New Roman" w:cs="Times New Roman"/>
          <w:b/>
          <w:bCs/>
        </w:rPr>
        <w:lastRenderedPageBreak/>
        <w:t>Q34. How could deemed generation be calculated accurately, and opportunities for gaming be limited?</w:t>
      </w:r>
    </w:p>
    <w:p w14:paraId="2FA74FEA" w14:textId="04347FF1" w:rsidR="00D94995" w:rsidRDefault="00D94995" w:rsidP="00D94995">
      <w:pPr>
        <w:spacing w:before="100" w:beforeAutospacing="1" w:after="100" w:afterAutospacing="1"/>
        <w:rPr>
          <w:rFonts w:eastAsia="Times New Roman" w:cs="Times New Roman"/>
        </w:rPr>
      </w:pPr>
      <w:r>
        <w:rPr>
          <w:rFonts w:eastAsia="Times New Roman" w:cs="Times New Roman"/>
        </w:rPr>
        <w:t xml:space="preserve">We don’t understand the scenario in which a renewable generator’s production would need to be deemed. It seems a minor cost to place a meter between a generating unit and a storage unit. </w:t>
      </w:r>
    </w:p>
    <w:p w14:paraId="40B1954E" w14:textId="77777777" w:rsidR="00D94995" w:rsidRPr="00DC28C8" w:rsidRDefault="00D94995" w:rsidP="00D94995">
      <w:pPr>
        <w:spacing w:before="100" w:beforeAutospacing="1" w:after="100" w:afterAutospacing="1"/>
        <w:rPr>
          <w:rFonts w:eastAsia="Times New Roman" w:cs="Times New Roman"/>
          <w:b/>
          <w:bCs/>
        </w:rPr>
      </w:pPr>
      <w:r w:rsidRPr="00DC28C8">
        <w:rPr>
          <w:rFonts w:eastAsia="Times New Roman" w:cs="Times New Roman"/>
          <w:b/>
          <w:bCs/>
        </w:rPr>
        <w:t>Q40 &amp; 41: Capacity auctions for flexible plant</w:t>
      </w:r>
    </w:p>
    <w:p w14:paraId="77B9AE3E" w14:textId="0CF854A4" w:rsidR="00D94995" w:rsidRPr="001F3278" w:rsidRDefault="00D94995" w:rsidP="00D94995">
      <w:pPr>
        <w:spacing w:before="100" w:beforeAutospacing="1" w:after="100" w:afterAutospacing="1"/>
        <w:rPr>
          <w:rFonts w:eastAsia="Times New Roman" w:cs="Times New Roman"/>
        </w:rPr>
      </w:pPr>
      <w:r>
        <w:rPr>
          <w:rFonts w:eastAsia="Times New Roman" w:cs="Times New Roman"/>
        </w:rPr>
        <w:t>We are a little unclear how and whether V2G would be able to participate in the markets being described. These and other storage solutions can provide backup for intermittent renewables generation. We would encourage consideration of how EVs can be introduced into the market.</w:t>
      </w:r>
      <w:r w:rsidR="00EE0D4A">
        <w:rPr>
          <w:rFonts w:eastAsia="Times New Roman" w:cs="Times New Roman"/>
        </w:rPr>
        <w:t xml:space="preserve"> A </w:t>
      </w:r>
      <w:proofErr w:type="gramStart"/>
      <w:r w:rsidR="00EE0D4A">
        <w:rPr>
          <w:rFonts w:eastAsia="Times New Roman" w:cs="Times New Roman"/>
        </w:rPr>
        <w:t>particular issue</w:t>
      </w:r>
      <w:proofErr w:type="gramEnd"/>
      <w:r w:rsidR="00EE0D4A">
        <w:rPr>
          <w:rFonts w:eastAsia="Times New Roman" w:cs="Times New Roman"/>
        </w:rPr>
        <w:t xml:space="preserve"> is ensuring that </w:t>
      </w:r>
      <w:r w:rsidR="00411EBA">
        <w:rPr>
          <w:rFonts w:eastAsia="Times New Roman" w:cs="Times New Roman"/>
        </w:rPr>
        <w:t>DNO CAPEX funding is responsive enough to ramp up quickly if cities need increased load for EV charging, including investment in reversible current is EV batteries are used to provide flexibility.</w:t>
      </w:r>
    </w:p>
    <w:p w14:paraId="295E89B8" w14:textId="77777777" w:rsidR="00D94995" w:rsidRPr="001F3278" w:rsidRDefault="00D94995" w:rsidP="00D94995">
      <w:pPr>
        <w:pStyle w:val="Heading2"/>
      </w:pPr>
      <w:r w:rsidRPr="001F3278">
        <w:t>Chapter 8:</w:t>
      </w:r>
      <w:r>
        <w:t xml:space="preserve"> Capacity Adequacy</w:t>
      </w:r>
    </w:p>
    <w:p w14:paraId="2AD621CD" w14:textId="77777777" w:rsidR="00D94995" w:rsidRPr="001F3278" w:rsidRDefault="00D94995" w:rsidP="00D94995">
      <w:pPr>
        <w:spacing w:before="100" w:beforeAutospacing="1" w:after="100" w:afterAutospacing="1"/>
        <w:rPr>
          <w:rFonts w:eastAsia="Times New Roman" w:cs="Times New Roman"/>
        </w:rPr>
      </w:pPr>
      <w:r w:rsidRPr="001F3278">
        <w:rPr>
          <w:rFonts w:eastAsia="Times New Roman"/>
          <w:b/>
          <w:bCs/>
        </w:rPr>
        <w:t xml:space="preserve">Q45. Are we considering all the credible options for reform in the capacity adequacy chapter? </w:t>
      </w:r>
    </w:p>
    <w:p w14:paraId="73DB73A9" w14:textId="3BDA728D" w:rsidR="00D94995" w:rsidRDefault="00D94995" w:rsidP="00D94995">
      <w:pPr>
        <w:spacing w:before="100" w:beforeAutospacing="1" w:after="100" w:afterAutospacing="1"/>
        <w:rPr>
          <w:rFonts w:eastAsia="Times New Roman" w:cs="Times New Roman"/>
        </w:rPr>
      </w:pPr>
      <w:r>
        <w:rPr>
          <w:rFonts w:eastAsia="Times New Roman" w:cs="Times New Roman"/>
        </w:rPr>
        <w:t xml:space="preserve">We encourage government to consider how demand-side, and specifically reduction in winter </w:t>
      </w:r>
      <w:r w:rsidR="00A50124">
        <w:rPr>
          <w:rFonts w:eastAsia="Times New Roman" w:cs="Times New Roman"/>
        </w:rPr>
        <w:t xml:space="preserve">heating </w:t>
      </w:r>
      <w:r>
        <w:rPr>
          <w:rFonts w:eastAsia="Times New Roman" w:cs="Times New Roman"/>
        </w:rPr>
        <w:t xml:space="preserve">demand, can be incentivised and funded rather than treating growth in power demand </w:t>
      </w:r>
      <w:r w:rsidR="00173587">
        <w:rPr>
          <w:rFonts w:eastAsia="Times New Roman" w:cs="Times New Roman"/>
        </w:rPr>
        <w:t xml:space="preserve">for heat pumps </w:t>
      </w:r>
      <w:r>
        <w:rPr>
          <w:rFonts w:eastAsia="Times New Roman" w:cs="Times New Roman"/>
        </w:rPr>
        <w:t>as a given. This mindset will lead to mechanism that incentivise an unnecessary expansion in power generation capacity.</w:t>
      </w:r>
    </w:p>
    <w:p w14:paraId="454B5A88" w14:textId="77777777" w:rsidR="00FC4762" w:rsidRDefault="00D94995" w:rsidP="00D94995">
      <w:pPr>
        <w:spacing w:before="100" w:beforeAutospacing="1" w:after="100" w:afterAutospacing="1"/>
      </w:pPr>
      <w:r>
        <w:rPr>
          <w:rFonts w:eastAsia="Times New Roman" w:cs="Times New Roman"/>
        </w:rPr>
        <w:t xml:space="preserve">For example, investment in seasonal heat storage can suppress peak demand under the right policy environment. As mentioned earlier offering the regulated asset base to guarantee investors a predictable return on their investment could ease the financing challenge of heat demand reduction. </w:t>
      </w:r>
    </w:p>
    <w:p w14:paraId="51D094E8" w14:textId="1DC5B8B3" w:rsidR="00873614" w:rsidRPr="00AB28B8" w:rsidRDefault="00873614" w:rsidP="00D94995"/>
    <w:sectPr w:rsidR="00873614" w:rsidRPr="00AB28B8" w:rsidSect="00C53412">
      <w:headerReference w:type="default" r:id="rId11"/>
      <w:footerReference w:type="default" r:id="rId12"/>
      <w:headerReference w:type="first" r:id="rId13"/>
      <w:footerReference w:type="first" r:id="rId14"/>
      <w:pgSz w:w="11906" w:h="16838" w:code="9"/>
      <w:pgMar w:top="594" w:right="1021" w:bottom="1701" w:left="79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30D7F" w14:textId="77777777" w:rsidR="009D0A96" w:rsidRDefault="009D0A96" w:rsidP="00BA3ADD">
      <w:pPr>
        <w:spacing w:line="240" w:lineRule="auto"/>
      </w:pPr>
      <w:r>
        <w:separator/>
      </w:r>
    </w:p>
  </w:endnote>
  <w:endnote w:type="continuationSeparator" w:id="0">
    <w:p w14:paraId="2A5F29D4" w14:textId="77777777" w:rsidR="009D0A96" w:rsidRDefault="009D0A96" w:rsidP="00BA3ADD">
      <w:pPr>
        <w:spacing w:line="240" w:lineRule="auto"/>
      </w:pPr>
      <w:r>
        <w:continuationSeparator/>
      </w:r>
    </w:p>
  </w:endnote>
  <w:endnote w:type="continuationNotice" w:id="1">
    <w:p w14:paraId="32D3E846" w14:textId="77777777" w:rsidR="009D0A96" w:rsidRDefault="009D0A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ne)">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43"/>
      <w:gridCol w:w="2375"/>
    </w:tblGrid>
    <w:tr w:rsidR="009D0A96" w14:paraId="2D432006" w14:textId="77777777" w:rsidTr="006062EB">
      <w:trPr>
        <w:cantSplit/>
        <w:trHeight w:hRule="exact" w:val="907"/>
      </w:trPr>
      <w:tc>
        <w:tcPr>
          <w:tcW w:w="7943" w:type="dxa"/>
          <w:vAlign w:val="bottom"/>
        </w:tcPr>
        <w:p w14:paraId="43AA96C2" w14:textId="77777777" w:rsidR="009D0A96" w:rsidRPr="00B91EA0" w:rsidRDefault="009D0A96" w:rsidP="00B91EA0">
          <w:pPr>
            <w:pStyle w:val="Footer"/>
            <w:spacing w:after="180"/>
            <w:ind w:left="85"/>
            <w:rPr>
              <w:b/>
              <w:color w:val="522380" w:themeColor="accent1"/>
              <w:sz w:val="22"/>
            </w:rPr>
          </w:pPr>
          <w:r w:rsidRPr="00B91EA0">
            <w:rPr>
              <w:b/>
              <w:color w:val="522380" w:themeColor="accent1"/>
              <w:sz w:val="22"/>
            </w:rPr>
            <w:fldChar w:fldCharType="begin"/>
          </w:r>
          <w:r w:rsidRPr="00B91EA0">
            <w:rPr>
              <w:b/>
              <w:color w:val="522380" w:themeColor="accent1"/>
              <w:sz w:val="22"/>
            </w:rPr>
            <w:instrText xml:space="preserve"> PAGE   \* MERGEFORMAT </w:instrText>
          </w:r>
          <w:r w:rsidRPr="00B91EA0">
            <w:rPr>
              <w:b/>
              <w:color w:val="522380" w:themeColor="accent1"/>
              <w:sz w:val="22"/>
            </w:rPr>
            <w:fldChar w:fldCharType="separate"/>
          </w:r>
          <w:r>
            <w:rPr>
              <w:b/>
              <w:noProof/>
              <w:color w:val="522380" w:themeColor="accent1"/>
              <w:sz w:val="22"/>
            </w:rPr>
            <w:t>12</w:t>
          </w:r>
          <w:r w:rsidRPr="00B91EA0">
            <w:rPr>
              <w:b/>
              <w:noProof/>
              <w:color w:val="522380" w:themeColor="accent1"/>
              <w:sz w:val="22"/>
            </w:rPr>
            <w:fldChar w:fldCharType="end"/>
          </w:r>
          <w:r>
            <w:rPr>
              <w:b/>
              <w:noProof/>
              <w:color w:val="522380" w:themeColor="accent1"/>
              <w:sz w:val="22"/>
            </w:rPr>
            <w:t xml:space="preserve"> / </w:t>
          </w:r>
          <w:r>
            <w:rPr>
              <w:b/>
              <w:noProof/>
              <w:color w:val="522380" w:themeColor="accent1"/>
              <w:sz w:val="22"/>
            </w:rPr>
            <w:fldChar w:fldCharType="begin"/>
          </w:r>
          <w:r>
            <w:rPr>
              <w:b/>
              <w:noProof/>
              <w:color w:val="522380" w:themeColor="accent1"/>
              <w:sz w:val="22"/>
            </w:rPr>
            <w:instrText xml:space="preserve"> NUMPAGES  \* Arabic </w:instrText>
          </w:r>
          <w:r>
            <w:rPr>
              <w:b/>
              <w:noProof/>
              <w:color w:val="522380" w:themeColor="accent1"/>
              <w:sz w:val="22"/>
            </w:rPr>
            <w:fldChar w:fldCharType="separate"/>
          </w:r>
          <w:r>
            <w:rPr>
              <w:b/>
              <w:noProof/>
              <w:color w:val="522380" w:themeColor="accent1"/>
              <w:sz w:val="22"/>
            </w:rPr>
            <w:t>12</w:t>
          </w:r>
          <w:r>
            <w:rPr>
              <w:b/>
              <w:noProof/>
              <w:color w:val="522380" w:themeColor="accent1"/>
              <w:sz w:val="22"/>
            </w:rPr>
            <w:fldChar w:fldCharType="end"/>
          </w:r>
        </w:p>
      </w:tc>
      <w:tc>
        <w:tcPr>
          <w:tcW w:w="2375" w:type="dxa"/>
          <w:vAlign w:val="bottom"/>
        </w:tcPr>
        <w:p w14:paraId="02666526" w14:textId="77777777" w:rsidR="009D0A96" w:rsidRPr="00B91EA0" w:rsidRDefault="009D0A96" w:rsidP="006062EB">
          <w:pPr>
            <w:pStyle w:val="Footer"/>
            <w:jc w:val="right"/>
            <w:rPr>
              <w:b/>
              <w:color w:val="522380" w:themeColor="accent1"/>
              <w:sz w:val="22"/>
            </w:rPr>
          </w:pPr>
          <w:r>
            <w:rPr>
              <w:b/>
              <w:noProof/>
              <w:color w:val="522380" w:themeColor="accent1"/>
              <w:sz w:val="22"/>
              <w:lang w:eastAsia="en-GB"/>
            </w:rPr>
            <w:drawing>
              <wp:inline distT="0" distB="0" distL="0" distR="0" wp14:anchorId="26CEF8A6" wp14:editId="6D25C973">
                <wp:extent cx="1130177" cy="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177" cy="540000"/>
                        </a:xfrm>
                        <a:prstGeom prst="rect">
                          <a:avLst/>
                        </a:prstGeom>
                        <a:noFill/>
                        <a:ln>
                          <a:noFill/>
                        </a:ln>
                      </pic:spPr>
                    </pic:pic>
                  </a:graphicData>
                </a:graphic>
              </wp:inline>
            </w:drawing>
          </w:r>
        </w:p>
      </w:tc>
    </w:tr>
  </w:tbl>
  <w:p w14:paraId="03304906" w14:textId="77777777" w:rsidR="009D0A96" w:rsidRDefault="009D0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43"/>
      <w:gridCol w:w="2375"/>
    </w:tblGrid>
    <w:tr w:rsidR="009D0A96" w14:paraId="2458CF7E" w14:textId="77777777" w:rsidTr="00FB4122">
      <w:trPr>
        <w:cantSplit/>
        <w:trHeight w:hRule="exact" w:val="907"/>
      </w:trPr>
      <w:tc>
        <w:tcPr>
          <w:tcW w:w="7943" w:type="dxa"/>
          <w:vAlign w:val="bottom"/>
        </w:tcPr>
        <w:p w14:paraId="076AFC86" w14:textId="77777777" w:rsidR="009D0A96" w:rsidRPr="00B91EA0" w:rsidRDefault="009D0A96" w:rsidP="00FB4122">
          <w:pPr>
            <w:pStyle w:val="Footer"/>
            <w:spacing w:after="180"/>
            <w:ind w:left="85"/>
            <w:rPr>
              <w:b/>
              <w:color w:val="522380" w:themeColor="accent1"/>
              <w:sz w:val="22"/>
            </w:rPr>
          </w:pPr>
          <w:r w:rsidRPr="00B91EA0">
            <w:rPr>
              <w:b/>
              <w:color w:val="522380" w:themeColor="accent1"/>
              <w:sz w:val="22"/>
            </w:rPr>
            <w:fldChar w:fldCharType="begin"/>
          </w:r>
          <w:r w:rsidRPr="00B91EA0">
            <w:rPr>
              <w:b/>
              <w:color w:val="522380" w:themeColor="accent1"/>
              <w:sz w:val="22"/>
            </w:rPr>
            <w:instrText xml:space="preserve"> PAGE   \* MERGEFORMAT </w:instrText>
          </w:r>
          <w:r w:rsidRPr="00B91EA0">
            <w:rPr>
              <w:b/>
              <w:color w:val="522380" w:themeColor="accent1"/>
              <w:sz w:val="22"/>
            </w:rPr>
            <w:fldChar w:fldCharType="separate"/>
          </w:r>
          <w:r>
            <w:rPr>
              <w:b/>
              <w:noProof/>
              <w:color w:val="522380" w:themeColor="accent1"/>
              <w:sz w:val="22"/>
            </w:rPr>
            <w:t>1</w:t>
          </w:r>
          <w:r w:rsidRPr="00B91EA0">
            <w:rPr>
              <w:b/>
              <w:noProof/>
              <w:color w:val="522380" w:themeColor="accent1"/>
              <w:sz w:val="22"/>
            </w:rPr>
            <w:fldChar w:fldCharType="end"/>
          </w:r>
          <w:r>
            <w:rPr>
              <w:b/>
              <w:noProof/>
              <w:color w:val="522380" w:themeColor="accent1"/>
              <w:sz w:val="22"/>
            </w:rPr>
            <w:t xml:space="preserve"> / </w:t>
          </w:r>
          <w:r>
            <w:rPr>
              <w:b/>
              <w:noProof/>
              <w:color w:val="522380" w:themeColor="accent1"/>
              <w:sz w:val="22"/>
            </w:rPr>
            <w:fldChar w:fldCharType="begin"/>
          </w:r>
          <w:r>
            <w:rPr>
              <w:b/>
              <w:noProof/>
              <w:color w:val="522380" w:themeColor="accent1"/>
              <w:sz w:val="22"/>
            </w:rPr>
            <w:instrText xml:space="preserve"> NUMPAGES  \* Arabic </w:instrText>
          </w:r>
          <w:r>
            <w:rPr>
              <w:b/>
              <w:noProof/>
              <w:color w:val="522380" w:themeColor="accent1"/>
              <w:sz w:val="22"/>
            </w:rPr>
            <w:fldChar w:fldCharType="separate"/>
          </w:r>
          <w:r>
            <w:rPr>
              <w:b/>
              <w:noProof/>
              <w:color w:val="522380" w:themeColor="accent1"/>
              <w:sz w:val="22"/>
            </w:rPr>
            <w:t>12</w:t>
          </w:r>
          <w:r>
            <w:rPr>
              <w:b/>
              <w:noProof/>
              <w:color w:val="522380" w:themeColor="accent1"/>
              <w:sz w:val="22"/>
            </w:rPr>
            <w:fldChar w:fldCharType="end"/>
          </w:r>
        </w:p>
      </w:tc>
      <w:tc>
        <w:tcPr>
          <w:tcW w:w="2375" w:type="dxa"/>
          <w:vAlign w:val="bottom"/>
        </w:tcPr>
        <w:p w14:paraId="2E664459" w14:textId="77777777" w:rsidR="009D0A96" w:rsidRPr="00B91EA0" w:rsidRDefault="009D0A96" w:rsidP="00FB4122">
          <w:pPr>
            <w:pStyle w:val="Footer"/>
            <w:jc w:val="right"/>
            <w:rPr>
              <w:b/>
              <w:color w:val="522380" w:themeColor="accent1"/>
              <w:sz w:val="22"/>
            </w:rPr>
          </w:pPr>
          <w:r>
            <w:rPr>
              <w:b/>
              <w:noProof/>
              <w:color w:val="522380" w:themeColor="accent1"/>
              <w:sz w:val="22"/>
              <w:lang w:eastAsia="en-GB"/>
            </w:rPr>
            <w:drawing>
              <wp:inline distT="0" distB="0" distL="0" distR="0" wp14:anchorId="5DAE361D" wp14:editId="7F5EE1C1">
                <wp:extent cx="1130177" cy="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177" cy="540000"/>
                        </a:xfrm>
                        <a:prstGeom prst="rect">
                          <a:avLst/>
                        </a:prstGeom>
                        <a:noFill/>
                        <a:ln>
                          <a:noFill/>
                        </a:ln>
                      </pic:spPr>
                    </pic:pic>
                  </a:graphicData>
                </a:graphic>
              </wp:inline>
            </w:drawing>
          </w:r>
        </w:p>
      </w:tc>
    </w:tr>
  </w:tbl>
  <w:p w14:paraId="7E1CE159" w14:textId="77777777" w:rsidR="009D0A96" w:rsidRDefault="009D0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9687F" w14:textId="77777777" w:rsidR="009D0A96" w:rsidRPr="002C64EC" w:rsidRDefault="009D0A96" w:rsidP="00BA3ADD">
      <w:pPr>
        <w:spacing w:line="240" w:lineRule="auto"/>
        <w:rPr>
          <w:color w:val="E1DCEB" w:themeColor="accent2"/>
        </w:rPr>
      </w:pPr>
      <w:r w:rsidRPr="002C64EC">
        <w:rPr>
          <w:color w:val="E1DCEB" w:themeColor="accent2"/>
        </w:rPr>
        <w:separator/>
      </w:r>
    </w:p>
  </w:footnote>
  <w:footnote w:type="continuationSeparator" w:id="0">
    <w:p w14:paraId="582964D8" w14:textId="77777777" w:rsidR="009D0A96" w:rsidRPr="002C64EC" w:rsidRDefault="009D0A96" w:rsidP="00BA3ADD">
      <w:pPr>
        <w:spacing w:line="240" w:lineRule="auto"/>
        <w:rPr>
          <w:color w:val="E1DCEB" w:themeColor="accent2"/>
        </w:rPr>
      </w:pPr>
      <w:r w:rsidRPr="002C64EC">
        <w:rPr>
          <w:color w:val="E1DCEB" w:themeColor="accent2"/>
        </w:rPr>
        <w:continuationSeparator/>
      </w:r>
    </w:p>
  </w:footnote>
  <w:footnote w:type="continuationNotice" w:id="1">
    <w:p w14:paraId="13F5C6B4" w14:textId="77777777" w:rsidR="009D0A96" w:rsidRDefault="009D0A96">
      <w:pPr>
        <w:spacing w:line="240" w:lineRule="auto"/>
      </w:pPr>
    </w:p>
  </w:footnote>
  <w:footnote w:id="2">
    <w:p w14:paraId="3F60CD36" w14:textId="77777777" w:rsidR="009D0A96" w:rsidRDefault="009D0A96" w:rsidP="00D94995">
      <w:pPr>
        <w:pStyle w:val="FootnoteText"/>
      </w:pPr>
      <w:r>
        <w:rPr>
          <w:rStyle w:val="FootnoteReference"/>
        </w:rPr>
        <w:footnoteRef/>
      </w:r>
      <w:r>
        <w:t xml:space="preserve"> </w:t>
      </w:r>
      <w:hyperlink r:id="rId1" w:history="1">
        <w:r>
          <w:rPr>
            <w:rStyle w:val="Hyperlink"/>
          </w:rPr>
          <w:t>Techno-economic and environmental analysis of an Aquifer Thermal Energy Storage (ATES) in Germany | Geothermal Energy | Full Text (springeropen.com)</w:t>
        </w:r>
      </w:hyperlink>
    </w:p>
    <w:p w14:paraId="7FAD79BD" w14:textId="77777777" w:rsidR="009D0A96" w:rsidRDefault="009D0A96" w:rsidP="00D94995">
      <w:pPr>
        <w:pStyle w:val="FootnoteText"/>
      </w:pPr>
      <w:r>
        <w:t xml:space="preserve">Islington project </w:t>
      </w:r>
      <w:hyperlink r:id="rId2" w:history="1">
        <w:proofErr w:type="spellStart"/>
        <w:r>
          <w:rPr>
            <w:rStyle w:val="Hyperlink"/>
          </w:rPr>
          <w:t>GreenSCIES</w:t>
        </w:r>
        <w:proofErr w:type="spellEnd"/>
        <w:r>
          <w:rPr>
            <w:rStyle w:val="Hyperlink"/>
          </w:rPr>
          <w:t xml:space="preserve"> | Green Smart Community Integrated Energy Systems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2068"/>
    </w:tblGrid>
    <w:tr w:rsidR="009D0A96" w14:paraId="10263ACA" w14:textId="77777777" w:rsidTr="00E253CF">
      <w:trPr>
        <w:cantSplit/>
        <w:trHeight w:val="624"/>
      </w:trPr>
      <w:tc>
        <w:tcPr>
          <w:tcW w:w="10148" w:type="dxa"/>
          <w:gridSpan w:val="2"/>
          <w:shd w:val="clear" w:color="auto" w:fill="522380" w:themeFill="accent1"/>
          <w:vAlign w:val="bottom"/>
        </w:tcPr>
        <w:p w14:paraId="58A6C025" w14:textId="14B016EA" w:rsidR="009D0A96" w:rsidRPr="004F1C42" w:rsidRDefault="009D0A96" w:rsidP="00580BE8">
          <w:pPr>
            <w:pStyle w:val="Header"/>
            <w:spacing w:after="80"/>
            <w:ind w:left="85"/>
            <w:rPr>
              <w:color w:val="FFFFFF" w:themeColor="background1"/>
              <w:sz w:val="22"/>
            </w:rPr>
          </w:pPr>
          <w:r>
            <w:rPr>
              <w:color w:val="FFFFFF" w:themeColor="background1"/>
              <w:sz w:val="22"/>
            </w:rPr>
            <w:t>28/08/2020</w:t>
          </w:r>
        </w:p>
      </w:tc>
    </w:tr>
    <w:tr w:rsidR="009D0A96" w14:paraId="40F22033" w14:textId="77777777" w:rsidTr="00554B6B">
      <w:trPr>
        <w:cantSplit/>
        <w:trHeight w:val="312"/>
      </w:trPr>
      <w:tc>
        <w:tcPr>
          <w:tcW w:w="8080" w:type="dxa"/>
          <w:vAlign w:val="bottom"/>
        </w:tcPr>
        <w:p w14:paraId="25AA07B7" w14:textId="6D11B859" w:rsidR="009D0A96" w:rsidRPr="005373FE" w:rsidRDefault="009D0A96" w:rsidP="005373FE">
          <w:pPr>
            <w:pStyle w:val="Header"/>
            <w:rPr>
              <w:b/>
              <w:color w:val="EC098D" w:themeColor="accent3"/>
              <w:sz w:val="24"/>
            </w:rPr>
          </w:pPr>
          <w:r w:rsidRPr="005373FE">
            <w:rPr>
              <w:b/>
              <w:color w:val="EC098D" w:themeColor="accent3"/>
              <w:sz w:val="24"/>
            </w:rPr>
            <w:fldChar w:fldCharType="begin"/>
          </w:r>
          <w:r w:rsidRPr="005373FE">
            <w:rPr>
              <w:b/>
              <w:color w:val="EC098D" w:themeColor="accent3"/>
              <w:sz w:val="24"/>
            </w:rPr>
            <w:instrText xml:space="preserve"> STYLEREF  ~DocType </w:instrText>
          </w:r>
          <w:r w:rsidRPr="005373FE">
            <w:rPr>
              <w:b/>
              <w:color w:val="EC098D" w:themeColor="accent3"/>
              <w:sz w:val="24"/>
            </w:rPr>
            <w:fldChar w:fldCharType="separate"/>
          </w:r>
          <w:r w:rsidR="00411EBA">
            <w:rPr>
              <w:b/>
              <w:noProof/>
              <w:color w:val="EC098D" w:themeColor="accent3"/>
              <w:sz w:val="24"/>
            </w:rPr>
            <w:t>Review of Electricity Market Arrangements</w:t>
          </w:r>
          <w:r w:rsidRPr="005373FE">
            <w:rPr>
              <w:b/>
              <w:color w:val="EC098D" w:themeColor="accent3"/>
              <w:sz w:val="24"/>
            </w:rPr>
            <w:fldChar w:fldCharType="end"/>
          </w:r>
        </w:p>
      </w:tc>
      <w:tc>
        <w:tcPr>
          <w:tcW w:w="2068" w:type="dxa"/>
          <w:vAlign w:val="bottom"/>
        </w:tcPr>
        <w:p w14:paraId="06F6B107" w14:textId="77777777" w:rsidR="009D0A96" w:rsidRPr="005373FE" w:rsidRDefault="009D0A96" w:rsidP="005373FE">
          <w:pPr>
            <w:pStyle w:val="Header"/>
            <w:jc w:val="right"/>
            <w:rPr>
              <w:b/>
              <w:color w:val="522380" w:themeColor="accent1"/>
              <w:sz w:val="24"/>
            </w:rPr>
          </w:pPr>
          <w:r w:rsidRPr="005373FE">
            <w:rPr>
              <w:b/>
              <w:color w:val="522380" w:themeColor="accent1"/>
              <w:sz w:val="24"/>
            </w:rPr>
            <w:t>London Councils</w:t>
          </w:r>
        </w:p>
      </w:tc>
    </w:tr>
  </w:tbl>
  <w:p w14:paraId="23CA2962" w14:textId="002A8782" w:rsidR="009D0A96" w:rsidRDefault="009D0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2068"/>
    </w:tblGrid>
    <w:tr w:rsidR="009D0A96" w14:paraId="5B2EE8E2" w14:textId="77777777" w:rsidTr="00E253CF">
      <w:trPr>
        <w:cantSplit/>
        <w:trHeight w:val="624"/>
      </w:trPr>
      <w:tc>
        <w:tcPr>
          <w:tcW w:w="10148" w:type="dxa"/>
          <w:gridSpan w:val="2"/>
          <w:shd w:val="clear" w:color="auto" w:fill="522380" w:themeFill="accent1"/>
          <w:vAlign w:val="bottom"/>
        </w:tcPr>
        <w:p w14:paraId="0F701DAB" w14:textId="70AA34B3" w:rsidR="009D0A96" w:rsidRPr="004F1C42" w:rsidRDefault="009D0A96" w:rsidP="00FB4122">
          <w:pPr>
            <w:pStyle w:val="Header"/>
            <w:spacing w:after="80"/>
            <w:ind w:left="85"/>
            <w:rPr>
              <w:color w:val="FFFFFF" w:themeColor="background1"/>
              <w:sz w:val="22"/>
            </w:rPr>
          </w:pPr>
          <w:r>
            <w:rPr>
              <w:color w:val="FFFFFF" w:themeColor="background1"/>
              <w:sz w:val="22"/>
            </w:rPr>
            <w:fldChar w:fldCharType="begin"/>
          </w:r>
          <w:r>
            <w:rPr>
              <w:color w:val="FFFFFF" w:themeColor="background1"/>
              <w:sz w:val="22"/>
            </w:rPr>
            <w:instrText xml:space="preserve"> STYLEREF  ~DocDate </w:instrText>
          </w:r>
          <w:r>
            <w:rPr>
              <w:color w:val="FFFFFF" w:themeColor="background1"/>
              <w:sz w:val="22"/>
            </w:rPr>
            <w:fldChar w:fldCharType="separate"/>
          </w:r>
          <w:r w:rsidR="00411EBA">
            <w:rPr>
              <w:noProof/>
              <w:color w:val="FFFFFF" w:themeColor="background1"/>
              <w:sz w:val="22"/>
            </w:rPr>
            <w:t>Monday 10 October 2022</w:t>
          </w:r>
          <w:r>
            <w:rPr>
              <w:color w:val="FFFFFF" w:themeColor="background1"/>
              <w:sz w:val="22"/>
            </w:rPr>
            <w:fldChar w:fldCharType="end"/>
          </w:r>
        </w:p>
      </w:tc>
    </w:tr>
    <w:tr w:rsidR="009D0A96" w14:paraId="556D73D7" w14:textId="77777777" w:rsidTr="00514B1B">
      <w:trPr>
        <w:cantSplit/>
        <w:trHeight w:hRule="exact" w:val="312"/>
      </w:trPr>
      <w:tc>
        <w:tcPr>
          <w:tcW w:w="8080" w:type="dxa"/>
          <w:vAlign w:val="bottom"/>
        </w:tcPr>
        <w:p w14:paraId="31A9160C" w14:textId="77777777" w:rsidR="009D0A96" w:rsidRPr="005373FE" w:rsidRDefault="009D0A96" w:rsidP="00FB4122">
          <w:pPr>
            <w:pStyle w:val="Header"/>
            <w:rPr>
              <w:b/>
              <w:color w:val="EC098D" w:themeColor="accent3"/>
              <w:sz w:val="24"/>
            </w:rPr>
          </w:pPr>
        </w:p>
      </w:tc>
      <w:tc>
        <w:tcPr>
          <w:tcW w:w="2063" w:type="dxa"/>
          <w:vAlign w:val="bottom"/>
        </w:tcPr>
        <w:p w14:paraId="3EBF8C12" w14:textId="77777777" w:rsidR="009D0A96" w:rsidRPr="005373FE" w:rsidRDefault="009D0A96" w:rsidP="00FB4122">
          <w:pPr>
            <w:pStyle w:val="Header"/>
            <w:jc w:val="right"/>
            <w:rPr>
              <w:b/>
              <w:color w:val="522380" w:themeColor="accent1"/>
              <w:sz w:val="24"/>
            </w:rPr>
          </w:pPr>
          <w:r w:rsidRPr="005373FE">
            <w:rPr>
              <w:b/>
              <w:color w:val="522380" w:themeColor="accent1"/>
              <w:sz w:val="24"/>
            </w:rPr>
            <w:t>London Councils</w:t>
          </w:r>
        </w:p>
      </w:tc>
    </w:tr>
  </w:tbl>
  <w:p w14:paraId="6301EF1F" w14:textId="7106CA84" w:rsidR="009D0A96" w:rsidRDefault="009D0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585889"/>
    <w:multiLevelType w:val="hybridMultilevel"/>
    <w:tmpl w:val="92FF76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10E039"/>
    <w:multiLevelType w:val="hybridMultilevel"/>
    <w:tmpl w:val="7F700C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A407F0"/>
    <w:multiLevelType w:val="hybridMultilevel"/>
    <w:tmpl w:val="ABB0E5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857A94B"/>
    <w:multiLevelType w:val="hybridMultilevel"/>
    <w:tmpl w:val="98D831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B77CB78"/>
    <w:multiLevelType w:val="hybridMultilevel"/>
    <w:tmpl w:val="3572A6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724014"/>
    <w:multiLevelType w:val="hybridMultilevel"/>
    <w:tmpl w:val="37BA2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261808"/>
    <w:multiLevelType w:val="hybridMultilevel"/>
    <w:tmpl w:val="A92693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30A38F5"/>
    <w:multiLevelType w:val="hybridMultilevel"/>
    <w:tmpl w:val="A9EE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632FC1"/>
    <w:multiLevelType w:val="hybridMultilevel"/>
    <w:tmpl w:val="9A80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0654B1"/>
    <w:multiLevelType w:val="hybridMultilevel"/>
    <w:tmpl w:val="E092C2FE"/>
    <w:lvl w:ilvl="0" w:tplc="FE20B150">
      <w:start w:val="1"/>
      <w:numFmt w:val="decimal"/>
      <w:lvlText w:val="%1."/>
      <w:lvlJc w:val="left"/>
      <w:pPr>
        <w:ind w:left="644" w:hanging="360"/>
      </w:pPr>
      <w:rPr>
        <w:rFonts w:hint="default"/>
        <w:b w:val="0"/>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A901CF"/>
    <w:multiLevelType w:val="hybridMultilevel"/>
    <w:tmpl w:val="1F4C0F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1C661C45"/>
    <w:multiLevelType w:val="hybridMultilevel"/>
    <w:tmpl w:val="2E7A7EDE"/>
    <w:lvl w:ilvl="0" w:tplc="2C4A62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032F24"/>
    <w:multiLevelType w:val="multilevel"/>
    <w:tmpl w:val="D9A4EAD6"/>
    <w:lvl w:ilvl="0">
      <w:start w:val="1"/>
      <w:numFmt w:val="decimal"/>
      <w:lvlRestart w:val="0"/>
      <w:isLgl/>
      <w:lvlText w:val="%1"/>
      <w:lvlJc w:val="right"/>
      <w:pPr>
        <w:tabs>
          <w:tab w:val="num" w:pos="0"/>
        </w:tabs>
        <w:ind w:left="0" w:hanging="198"/>
      </w:pPr>
      <w:rPr>
        <w:rFonts w:ascii="Arial" w:hAnsi="Arial" w:cs="Arial"/>
        <w:b/>
        <w:color w:val="053747"/>
        <w:sz w:val="32"/>
      </w:rPr>
    </w:lvl>
    <w:lvl w:ilvl="1">
      <w:start w:val="1"/>
      <w:numFmt w:val="decimal"/>
      <w:isLgl/>
      <w:lvlText w:val="%1.%2"/>
      <w:lvlJc w:val="right"/>
      <w:pPr>
        <w:tabs>
          <w:tab w:val="num" w:pos="0"/>
        </w:tabs>
        <w:ind w:left="0" w:hanging="198"/>
      </w:pPr>
      <w:rPr>
        <w:rFonts w:ascii="Arial" w:hAnsi="Arial" w:cs="Arial"/>
        <w:b/>
        <w:color w:val="0081AD"/>
        <w:sz w:val="18"/>
      </w:rPr>
    </w:lvl>
    <w:lvl w:ilvl="2">
      <w:start w:val="1"/>
      <w:numFmt w:val="decimal"/>
      <w:isLgl/>
      <w:lvlText w:val="%1.%2.%3"/>
      <w:lvlJc w:val="right"/>
      <w:pPr>
        <w:tabs>
          <w:tab w:val="num" w:pos="0"/>
        </w:tabs>
        <w:ind w:left="0" w:hanging="198"/>
      </w:pPr>
      <w:rPr>
        <w:rFonts w:ascii="Arial" w:hAnsi="Arial" w:cs="Arial"/>
        <w:b w:val="0"/>
        <w:color w:val="0081AD"/>
        <w:sz w:val="18"/>
      </w:rPr>
    </w:lvl>
    <w:lvl w:ilvl="3">
      <w:start w:val="1"/>
      <w:numFmt w:val="decimal"/>
      <w:isLgl/>
      <w:lvlText w:val="%1.%2.%3.%4"/>
      <w:lvlJc w:val="right"/>
      <w:pPr>
        <w:tabs>
          <w:tab w:val="num" w:pos="0"/>
        </w:tabs>
        <w:ind w:left="0" w:hanging="198"/>
      </w:pPr>
      <w:rPr>
        <w:rFonts w:ascii="Arial" w:hAnsi="Arial" w:cs="Arial"/>
        <w:b w:val="0"/>
        <w:color w:val="0081AD"/>
        <w:sz w:val="18"/>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EF979C9"/>
    <w:multiLevelType w:val="hybridMultilevel"/>
    <w:tmpl w:val="CC58FD54"/>
    <w:lvl w:ilvl="0" w:tplc="6612596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7540EE"/>
    <w:multiLevelType w:val="hybridMultilevel"/>
    <w:tmpl w:val="D506FA18"/>
    <w:lvl w:ilvl="0" w:tplc="7632CA56">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884071"/>
    <w:multiLevelType w:val="hybridMultilevel"/>
    <w:tmpl w:val="E6F2577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B853C68"/>
    <w:multiLevelType w:val="hybridMultilevel"/>
    <w:tmpl w:val="5748B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38359F5"/>
    <w:multiLevelType w:val="multilevel"/>
    <w:tmpl w:val="B5C2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5B7A88"/>
    <w:multiLevelType w:val="hybridMultilevel"/>
    <w:tmpl w:val="B746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975202"/>
    <w:multiLevelType w:val="hybridMultilevel"/>
    <w:tmpl w:val="394A3AB8"/>
    <w:lvl w:ilvl="0" w:tplc="0E88EC1A">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E324C4"/>
    <w:multiLevelType w:val="hybridMultilevel"/>
    <w:tmpl w:val="6E10C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EC3C07"/>
    <w:multiLevelType w:val="hybridMultilevel"/>
    <w:tmpl w:val="A778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0744BE"/>
    <w:multiLevelType w:val="multilevel"/>
    <w:tmpl w:val="8C645774"/>
    <w:lvl w:ilvl="0">
      <w:start w:val="1"/>
      <w:numFmt w:val="bullet"/>
      <w:pStyle w:val="Bullet1"/>
      <w:lvlText w:val="•"/>
      <w:lvlJc w:val="left"/>
      <w:pPr>
        <w:tabs>
          <w:tab w:val="num" w:pos="340"/>
        </w:tabs>
        <w:ind w:left="340" w:hanging="340"/>
      </w:pPr>
      <w:rPr>
        <w:rFonts w:ascii="Arial" w:hAnsi="Arial" w:hint="default"/>
        <w:color w:val="EC098D" w:themeColor="accent3"/>
      </w:rPr>
    </w:lvl>
    <w:lvl w:ilvl="1">
      <w:start w:val="1"/>
      <w:numFmt w:val="bullet"/>
      <w:pStyle w:val="Bullet2"/>
      <w:lvlText w:val="–"/>
      <w:lvlJc w:val="left"/>
      <w:pPr>
        <w:tabs>
          <w:tab w:val="num" w:pos="680"/>
        </w:tabs>
        <w:ind w:left="680" w:hanging="340"/>
      </w:pPr>
      <w:rPr>
        <w:rFonts w:ascii="(none)" w:hAnsi="(none)" w:hint="default"/>
        <w:color w:val="EC098D" w:themeColor="accent3"/>
      </w:rPr>
    </w:lvl>
    <w:lvl w:ilvl="2">
      <w:start w:val="1"/>
      <w:numFmt w:val="bullet"/>
      <w:pStyle w:val="Bullet3"/>
      <w:lvlText w:val="–"/>
      <w:lvlJc w:val="left"/>
      <w:pPr>
        <w:tabs>
          <w:tab w:val="num" w:pos="1021"/>
        </w:tabs>
        <w:ind w:left="1021" w:hanging="341"/>
      </w:pPr>
      <w:rPr>
        <w:rFonts w:ascii="(none)" w:hAnsi="(none)" w:hint="default"/>
        <w:color w:val="EC098D" w:themeColor="accent3"/>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3" w15:restartNumberingAfterBreak="0">
    <w:nsid w:val="4B4675C2"/>
    <w:multiLevelType w:val="hybridMultilevel"/>
    <w:tmpl w:val="A58C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CE794C"/>
    <w:multiLevelType w:val="hybridMultilevel"/>
    <w:tmpl w:val="7384F602"/>
    <w:lvl w:ilvl="0" w:tplc="6C4073F8">
      <w:numFmt w:val="bullet"/>
      <w:lvlText w:val="-"/>
      <w:lvlJc w:val="left"/>
      <w:pPr>
        <w:ind w:left="720" w:hanging="360"/>
      </w:pPr>
      <w:rPr>
        <w:rFonts w:ascii="Arial" w:eastAsiaTheme="minorHAnsi"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462BDD"/>
    <w:multiLevelType w:val="hybridMultilevel"/>
    <w:tmpl w:val="A8FF1F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1002685"/>
    <w:multiLevelType w:val="hybridMultilevel"/>
    <w:tmpl w:val="D14E4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0A2A07"/>
    <w:multiLevelType w:val="hybridMultilevel"/>
    <w:tmpl w:val="2534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CF620D"/>
    <w:multiLevelType w:val="multilevel"/>
    <w:tmpl w:val="9702B2D4"/>
    <w:lvl w:ilvl="0">
      <w:start w:val="1"/>
      <w:numFmt w:val="none"/>
      <w:lvlRestart w:val="0"/>
      <w:pStyle w:val="Heading1"/>
      <w:isLgl/>
      <w:lvlText w:val=""/>
      <w:lvlJc w:val="left"/>
      <w:pPr>
        <w:tabs>
          <w:tab w:val="num" w:pos="0"/>
        </w:tabs>
        <w:ind w:left="0" w:firstLine="0"/>
      </w:pPr>
      <w:rPr>
        <w:rFonts w:hint="default"/>
      </w:rPr>
    </w:lvl>
    <w:lvl w:ilvl="1">
      <w:start w:val="1"/>
      <w:numFmt w:val="decimal"/>
      <w:isLgl/>
      <w:lvlText w:val="%1"/>
      <w:lvlJc w:val="left"/>
      <w:pPr>
        <w:tabs>
          <w:tab w:val="num" w:pos="0"/>
        </w:tabs>
        <w:ind w:left="0" w:firstLine="0"/>
      </w:pPr>
      <w:rPr>
        <w:rFonts w:hint="default"/>
      </w:rPr>
    </w:lvl>
    <w:lvl w:ilvl="2">
      <w:start w:val="1"/>
      <w:numFmt w:val="decimal"/>
      <w:isLgl/>
      <w:lvlText w:val="%1"/>
      <w:lvlJc w:val="left"/>
      <w:pPr>
        <w:tabs>
          <w:tab w:val="num" w:pos="0"/>
        </w:tabs>
        <w:ind w:left="0" w:firstLine="0"/>
      </w:pPr>
      <w:rPr>
        <w:rFonts w:hint="default"/>
      </w:rPr>
    </w:lvl>
    <w:lvl w:ilvl="3">
      <w:start w:val="1"/>
      <w:numFmt w:val="decimal"/>
      <w:isLgl/>
      <w:lvlText w:val="%1"/>
      <w:lvlJc w:val="left"/>
      <w:pPr>
        <w:tabs>
          <w:tab w:val="num" w:pos="0"/>
        </w:tabs>
        <w:ind w:left="0" w:firstLine="0"/>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29" w15:restartNumberingAfterBreak="0">
    <w:nsid w:val="63074563"/>
    <w:multiLevelType w:val="hybridMultilevel"/>
    <w:tmpl w:val="8EA603AE"/>
    <w:lvl w:ilvl="0" w:tplc="08090001">
      <w:start w:val="1"/>
      <w:numFmt w:val="bullet"/>
      <w:lvlText w:val=""/>
      <w:lvlJc w:val="left"/>
      <w:pPr>
        <w:ind w:left="360" w:hanging="360"/>
      </w:pPr>
      <w:rPr>
        <w:rFonts w:ascii="Symbol" w:hAnsi="Symbol" w:hint="default"/>
      </w:rPr>
    </w:lvl>
    <w:lvl w:ilvl="1" w:tplc="7626327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9E7BE8"/>
    <w:multiLevelType w:val="hybridMultilevel"/>
    <w:tmpl w:val="881E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666330"/>
    <w:multiLevelType w:val="hybridMultilevel"/>
    <w:tmpl w:val="EA6E3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E3444F"/>
    <w:multiLevelType w:val="hybridMultilevel"/>
    <w:tmpl w:val="ED4AE9AE"/>
    <w:lvl w:ilvl="0" w:tplc="13F642CA">
      <w:start w:val="1"/>
      <w:numFmt w:val="bullet"/>
      <w:pStyle w:val="TableBullet1"/>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5D0077"/>
    <w:multiLevelType w:val="hybridMultilevel"/>
    <w:tmpl w:val="6BEEFA28"/>
    <w:lvl w:ilvl="0" w:tplc="0809000F">
      <w:start w:val="1"/>
      <w:numFmt w:val="decimal"/>
      <w:lvlText w:val="%1."/>
      <w:lvlJc w:val="left"/>
      <w:pPr>
        <w:ind w:left="825" w:hanging="465"/>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28F15A2"/>
    <w:multiLevelType w:val="hybridMultilevel"/>
    <w:tmpl w:val="12BAD4FE"/>
    <w:lvl w:ilvl="0" w:tplc="8E803F48">
      <w:numFmt w:val="bullet"/>
      <w:lvlText w:val="-"/>
      <w:lvlJc w:val="left"/>
      <w:pPr>
        <w:ind w:left="720" w:hanging="360"/>
      </w:pPr>
      <w:rPr>
        <w:rFonts w:ascii="Arial" w:eastAsiaTheme="minorHAnsi" w:hAnsi="Arial" w:cs="Aria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C367FA"/>
    <w:multiLevelType w:val="hybridMultilevel"/>
    <w:tmpl w:val="7C0A2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6A3518"/>
    <w:multiLevelType w:val="multilevel"/>
    <w:tmpl w:val="188C30DC"/>
    <w:lvl w:ilvl="0">
      <w:start w:val="1"/>
      <w:numFmt w:val="decimal"/>
      <w:pStyle w:val="NumBullet1"/>
      <w:lvlText w:val="%1."/>
      <w:lvlJc w:val="left"/>
      <w:pPr>
        <w:tabs>
          <w:tab w:val="num" w:pos="340"/>
        </w:tabs>
        <w:ind w:left="340" w:hanging="340"/>
      </w:pPr>
      <w:rPr>
        <w:rFonts w:hint="default"/>
      </w:rPr>
    </w:lvl>
    <w:lvl w:ilvl="1">
      <w:start w:val="1"/>
      <w:numFmt w:val="lowerLetter"/>
      <w:pStyle w:val="NumBullet2"/>
      <w:lvlText w:val="%2."/>
      <w:lvlJc w:val="left"/>
      <w:pPr>
        <w:tabs>
          <w:tab w:val="num" w:pos="680"/>
        </w:tabs>
        <w:ind w:left="680" w:hanging="340"/>
      </w:pPr>
      <w:rPr>
        <w:rFonts w:hint="default"/>
      </w:rPr>
    </w:lvl>
    <w:lvl w:ilvl="2">
      <w:start w:val="1"/>
      <w:numFmt w:val="lowerRoman"/>
      <w:pStyle w:val="NumBullet3"/>
      <w:lvlText w:val="%3."/>
      <w:lvlJc w:val="left"/>
      <w:pPr>
        <w:tabs>
          <w:tab w:val="num" w:pos="1021"/>
        </w:tabs>
        <w:ind w:left="1021" w:hanging="341"/>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7" w15:restartNumberingAfterBreak="0">
    <w:nsid w:val="7A8A5F58"/>
    <w:multiLevelType w:val="hybridMultilevel"/>
    <w:tmpl w:val="D7C05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6"/>
  </w:num>
  <w:num w:numId="3">
    <w:abstractNumId w:val="32"/>
  </w:num>
  <w:num w:numId="4">
    <w:abstractNumId w:val="12"/>
  </w:num>
  <w:num w:numId="5">
    <w:abstractNumId w:val="28"/>
  </w:num>
  <w:num w:numId="6">
    <w:abstractNumId w:val="0"/>
  </w:num>
  <w:num w:numId="7">
    <w:abstractNumId w:val="3"/>
  </w:num>
  <w:num w:numId="8">
    <w:abstractNumId w:val="26"/>
  </w:num>
  <w:num w:numId="9">
    <w:abstractNumId w:val="9"/>
  </w:num>
  <w:num w:numId="10">
    <w:abstractNumId w:val="4"/>
  </w:num>
  <w:num w:numId="11">
    <w:abstractNumId w:val="2"/>
  </w:num>
  <w:num w:numId="12">
    <w:abstractNumId w:val="25"/>
  </w:num>
  <w:num w:numId="13">
    <w:abstractNumId w:val="6"/>
  </w:num>
  <w:num w:numId="14">
    <w:abstractNumId w:val="1"/>
  </w:num>
  <w:num w:numId="15">
    <w:abstractNumId w:val="15"/>
  </w:num>
  <w:num w:numId="16">
    <w:abstractNumId w:val="23"/>
  </w:num>
  <w:num w:numId="17">
    <w:abstractNumId w:val="30"/>
  </w:num>
  <w:num w:numId="18">
    <w:abstractNumId w:val="29"/>
  </w:num>
  <w:num w:numId="19">
    <w:abstractNumId w:val="17"/>
  </w:num>
  <w:num w:numId="20">
    <w:abstractNumId w:val="37"/>
  </w:num>
  <w:num w:numId="21">
    <w:abstractNumId w:val="11"/>
  </w:num>
  <w:num w:numId="22">
    <w:abstractNumId w:val="18"/>
  </w:num>
  <w:num w:numId="23">
    <w:abstractNumId w:val="24"/>
  </w:num>
  <w:num w:numId="24">
    <w:abstractNumId w:val="13"/>
  </w:num>
  <w:num w:numId="25">
    <w:abstractNumId w:val="19"/>
  </w:num>
  <w:num w:numId="26">
    <w:abstractNumId w:val="34"/>
  </w:num>
  <w:num w:numId="27">
    <w:abstractNumId w:val="16"/>
  </w:num>
  <w:num w:numId="28">
    <w:abstractNumId w:val="33"/>
  </w:num>
  <w:num w:numId="29">
    <w:abstractNumId w:val="8"/>
  </w:num>
  <w:num w:numId="30">
    <w:abstractNumId w:val="21"/>
  </w:num>
  <w:num w:numId="31">
    <w:abstractNumId w:val="5"/>
  </w:num>
  <w:num w:numId="32">
    <w:abstractNumId w:val="31"/>
  </w:num>
  <w:num w:numId="33">
    <w:abstractNumId w:val="7"/>
  </w:num>
  <w:num w:numId="34">
    <w:abstractNumId w:val="10"/>
  </w:num>
  <w:num w:numId="35">
    <w:abstractNumId w:val="14"/>
  </w:num>
  <w:num w:numId="36">
    <w:abstractNumId w:val="35"/>
  </w:num>
  <w:num w:numId="37">
    <w:abstractNumId w:val="27"/>
  </w:num>
  <w:num w:numId="38">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2C"/>
    <w:rsid w:val="000024EB"/>
    <w:rsid w:val="00002812"/>
    <w:rsid w:val="000041D9"/>
    <w:rsid w:val="00007D97"/>
    <w:rsid w:val="0001761D"/>
    <w:rsid w:val="000208EB"/>
    <w:rsid w:val="000213F4"/>
    <w:rsid w:val="0002522A"/>
    <w:rsid w:val="00026D7A"/>
    <w:rsid w:val="00030FE3"/>
    <w:rsid w:val="0003433C"/>
    <w:rsid w:val="000345AB"/>
    <w:rsid w:val="00036ED6"/>
    <w:rsid w:val="0004067C"/>
    <w:rsid w:val="00040E33"/>
    <w:rsid w:val="000412A5"/>
    <w:rsid w:val="0004144B"/>
    <w:rsid w:val="000416E7"/>
    <w:rsid w:val="0004188F"/>
    <w:rsid w:val="0004346A"/>
    <w:rsid w:val="000436A0"/>
    <w:rsid w:val="00045A24"/>
    <w:rsid w:val="00046278"/>
    <w:rsid w:val="00047823"/>
    <w:rsid w:val="00051AA1"/>
    <w:rsid w:val="000643A6"/>
    <w:rsid w:val="000659D8"/>
    <w:rsid w:val="00065E35"/>
    <w:rsid w:val="000725E6"/>
    <w:rsid w:val="00074939"/>
    <w:rsid w:val="00075B43"/>
    <w:rsid w:val="00077484"/>
    <w:rsid w:val="000776ED"/>
    <w:rsid w:val="00081775"/>
    <w:rsid w:val="00085D46"/>
    <w:rsid w:val="00090871"/>
    <w:rsid w:val="00091279"/>
    <w:rsid w:val="0009500D"/>
    <w:rsid w:val="00096537"/>
    <w:rsid w:val="00096CAE"/>
    <w:rsid w:val="000A3F22"/>
    <w:rsid w:val="000A4A98"/>
    <w:rsid w:val="000A4E7A"/>
    <w:rsid w:val="000A6BA2"/>
    <w:rsid w:val="000B3DFB"/>
    <w:rsid w:val="000B6410"/>
    <w:rsid w:val="000B6434"/>
    <w:rsid w:val="000B7278"/>
    <w:rsid w:val="000C19E7"/>
    <w:rsid w:val="000C2625"/>
    <w:rsid w:val="000C5975"/>
    <w:rsid w:val="000C5B9B"/>
    <w:rsid w:val="000C65DC"/>
    <w:rsid w:val="000C6E7C"/>
    <w:rsid w:val="000C7FD8"/>
    <w:rsid w:val="000D22C7"/>
    <w:rsid w:val="000D2714"/>
    <w:rsid w:val="000D4280"/>
    <w:rsid w:val="000D5C83"/>
    <w:rsid w:val="000D71A7"/>
    <w:rsid w:val="000E3E0F"/>
    <w:rsid w:val="000E4D92"/>
    <w:rsid w:val="000F0B51"/>
    <w:rsid w:val="000F33F0"/>
    <w:rsid w:val="000F4A65"/>
    <w:rsid w:val="001009CF"/>
    <w:rsid w:val="0010283A"/>
    <w:rsid w:val="0010685C"/>
    <w:rsid w:val="00112072"/>
    <w:rsid w:val="00115E35"/>
    <w:rsid w:val="00117998"/>
    <w:rsid w:val="00122A66"/>
    <w:rsid w:val="00122CAE"/>
    <w:rsid w:val="001236D5"/>
    <w:rsid w:val="0012685F"/>
    <w:rsid w:val="00126A71"/>
    <w:rsid w:val="001319A7"/>
    <w:rsid w:val="00134751"/>
    <w:rsid w:val="00134DCC"/>
    <w:rsid w:val="001355C8"/>
    <w:rsid w:val="0013598A"/>
    <w:rsid w:val="00136681"/>
    <w:rsid w:val="0013785F"/>
    <w:rsid w:val="0014146A"/>
    <w:rsid w:val="00144305"/>
    <w:rsid w:val="00144483"/>
    <w:rsid w:val="001469BA"/>
    <w:rsid w:val="00151323"/>
    <w:rsid w:val="00154FFA"/>
    <w:rsid w:val="00155246"/>
    <w:rsid w:val="00157AEE"/>
    <w:rsid w:val="0016210E"/>
    <w:rsid w:val="00164380"/>
    <w:rsid w:val="00165800"/>
    <w:rsid w:val="00173587"/>
    <w:rsid w:val="00174C83"/>
    <w:rsid w:val="00175734"/>
    <w:rsid w:val="00175F65"/>
    <w:rsid w:val="00181244"/>
    <w:rsid w:val="00183267"/>
    <w:rsid w:val="00183704"/>
    <w:rsid w:val="0018722F"/>
    <w:rsid w:val="00190E6A"/>
    <w:rsid w:val="00191870"/>
    <w:rsid w:val="00193596"/>
    <w:rsid w:val="0019468D"/>
    <w:rsid w:val="00196B98"/>
    <w:rsid w:val="00197A94"/>
    <w:rsid w:val="001A0071"/>
    <w:rsid w:val="001A1CDB"/>
    <w:rsid w:val="001A51F3"/>
    <w:rsid w:val="001A5497"/>
    <w:rsid w:val="001A6534"/>
    <w:rsid w:val="001A79B9"/>
    <w:rsid w:val="001B1933"/>
    <w:rsid w:val="001B1A43"/>
    <w:rsid w:val="001B2B15"/>
    <w:rsid w:val="001B37CB"/>
    <w:rsid w:val="001B5ADA"/>
    <w:rsid w:val="001B74B1"/>
    <w:rsid w:val="001B7A60"/>
    <w:rsid w:val="001C088F"/>
    <w:rsid w:val="001C335F"/>
    <w:rsid w:val="001C4302"/>
    <w:rsid w:val="001C48D1"/>
    <w:rsid w:val="001C561D"/>
    <w:rsid w:val="001D1986"/>
    <w:rsid w:val="001D216F"/>
    <w:rsid w:val="001D45C3"/>
    <w:rsid w:val="001D70DE"/>
    <w:rsid w:val="001D7B7B"/>
    <w:rsid w:val="001E169F"/>
    <w:rsid w:val="001E29E2"/>
    <w:rsid w:val="001E47C3"/>
    <w:rsid w:val="001E5A79"/>
    <w:rsid w:val="001E5EC1"/>
    <w:rsid w:val="001E5FFA"/>
    <w:rsid w:val="001F141E"/>
    <w:rsid w:val="001F38AE"/>
    <w:rsid w:val="001F5A79"/>
    <w:rsid w:val="001F5E3A"/>
    <w:rsid w:val="001F662D"/>
    <w:rsid w:val="001F67A9"/>
    <w:rsid w:val="00203441"/>
    <w:rsid w:val="002056A4"/>
    <w:rsid w:val="00205A7F"/>
    <w:rsid w:val="00205B14"/>
    <w:rsid w:val="00205D3A"/>
    <w:rsid w:val="002070ED"/>
    <w:rsid w:val="002104B6"/>
    <w:rsid w:val="00211489"/>
    <w:rsid w:val="00212E01"/>
    <w:rsid w:val="002131A0"/>
    <w:rsid w:val="0021493E"/>
    <w:rsid w:val="00214BAA"/>
    <w:rsid w:val="00215F07"/>
    <w:rsid w:val="002215E0"/>
    <w:rsid w:val="0022271B"/>
    <w:rsid w:val="00222C37"/>
    <w:rsid w:val="002250DB"/>
    <w:rsid w:val="00225EC2"/>
    <w:rsid w:val="00226651"/>
    <w:rsid w:val="002307F6"/>
    <w:rsid w:val="00230FA7"/>
    <w:rsid w:val="00236C50"/>
    <w:rsid w:val="0024273C"/>
    <w:rsid w:val="00245227"/>
    <w:rsid w:val="00246075"/>
    <w:rsid w:val="00246324"/>
    <w:rsid w:val="002464D8"/>
    <w:rsid w:val="002531DF"/>
    <w:rsid w:val="00253ABA"/>
    <w:rsid w:val="00254570"/>
    <w:rsid w:val="00255269"/>
    <w:rsid w:val="00260B8A"/>
    <w:rsid w:val="00266002"/>
    <w:rsid w:val="00267D8F"/>
    <w:rsid w:val="00270209"/>
    <w:rsid w:val="0027027F"/>
    <w:rsid w:val="0027112D"/>
    <w:rsid w:val="00271513"/>
    <w:rsid w:val="00273E28"/>
    <w:rsid w:val="00274C4E"/>
    <w:rsid w:val="0027555E"/>
    <w:rsid w:val="00277139"/>
    <w:rsid w:val="0027754F"/>
    <w:rsid w:val="00281070"/>
    <w:rsid w:val="002814B8"/>
    <w:rsid w:val="00281DEA"/>
    <w:rsid w:val="002839B5"/>
    <w:rsid w:val="002839CE"/>
    <w:rsid w:val="00290A28"/>
    <w:rsid w:val="00290AEE"/>
    <w:rsid w:val="002927DF"/>
    <w:rsid w:val="00297B04"/>
    <w:rsid w:val="002A1EC5"/>
    <w:rsid w:val="002A3188"/>
    <w:rsid w:val="002A47D9"/>
    <w:rsid w:val="002A48ED"/>
    <w:rsid w:val="002B437A"/>
    <w:rsid w:val="002B4767"/>
    <w:rsid w:val="002B5D81"/>
    <w:rsid w:val="002C4417"/>
    <w:rsid w:val="002C4CFC"/>
    <w:rsid w:val="002C64EC"/>
    <w:rsid w:val="002C7A99"/>
    <w:rsid w:val="002C7E16"/>
    <w:rsid w:val="002D1022"/>
    <w:rsid w:val="002D1E75"/>
    <w:rsid w:val="002D239E"/>
    <w:rsid w:val="002D42BB"/>
    <w:rsid w:val="002D46EA"/>
    <w:rsid w:val="002D7DEA"/>
    <w:rsid w:val="002E24F3"/>
    <w:rsid w:val="002E2511"/>
    <w:rsid w:val="002E5434"/>
    <w:rsid w:val="002F0E5A"/>
    <w:rsid w:val="002F3CC9"/>
    <w:rsid w:val="002F5137"/>
    <w:rsid w:val="0030062C"/>
    <w:rsid w:val="00303087"/>
    <w:rsid w:val="003033D3"/>
    <w:rsid w:val="00304BDA"/>
    <w:rsid w:val="0030597B"/>
    <w:rsid w:val="00305E4D"/>
    <w:rsid w:val="00307E6D"/>
    <w:rsid w:val="00310E7E"/>
    <w:rsid w:val="00311DA1"/>
    <w:rsid w:val="00313A88"/>
    <w:rsid w:val="00320F15"/>
    <w:rsid w:val="003226BC"/>
    <w:rsid w:val="0032465D"/>
    <w:rsid w:val="00326FF5"/>
    <w:rsid w:val="00327516"/>
    <w:rsid w:val="00327CB8"/>
    <w:rsid w:val="00330481"/>
    <w:rsid w:val="003307DC"/>
    <w:rsid w:val="00330E23"/>
    <w:rsid w:val="003318B1"/>
    <w:rsid w:val="00333336"/>
    <w:rsid w:val="00335A6B"/>
    <w:rsid w:val="00336215"/>
    <w:rsid w:val="00336DB0"/>
    <w:rsid w:val="00337178"/>
    <w:rsid w:val="0034003C"/>
    <w:rsid w:val="00340048"/>
    <w:rsid w:val="0034528A"/>
    <w:rsid w:val="00345B7D"/>
    <w:rsid w:val="00347B7E"/>
    <w:rsid w:val="003502CC"/>
    <w:rsid w:val="00351EF2"/>
    <w:rsid w:val="0035486E"/>
    <w:rsid w:val="00355D0A"/>
    <w:rsid w:val="00356FD1"/>
    <w:rsid w:val="00357A90"/>
    <w:rsid w:val="003606B2"/>
    <w:rsid w:val="003607D3"/>
    <w:rsid w:val="00361859"/>
    <w:rsid w:val="00361E83"/>
    <w:rsid w:val="00362B49"/>
    <w:rsid w:val="003640FA"/>
    <w:rsid w:val="00367582"/>
    <w:rsid w:val="00367F1D"/>
    <w:rsid w:val="00370111"/>
    <w:rsid w:val="00373608"/>
    <w:rsid w:val="003747C5"/>
    <w:rsid w:val="00377E42"/>
    <w:rsid w:val="00380BF9"/>
    <w:rsid w:val="00381321"/>
    <w:rsid w:val="0038236C"/>
    <w:rsid w:val="00383354"/>
    <w:rsid w:val="00383BDE"/>
    <w:rsid w:val="003842C1"/>
    <w:rsid w:val="003869F6"/>
    <w:rsid w:val="003876CA"/>
    <w:rsid w:val="0039111A"/>
    <w:rsid w:val="00391F3E"/>
    <w:rsid w:val="00392340"/>
    <w:rsid w:val="00392354"/>
    <w:rsid w:val="0039274D"/>
    <w:rsid w:val="00394A58"/>
    <w:rsid w:val="0039500C"/>
    <w:rsid w:val="003965FB"/>
    <w:rsid w:val="00397E5B"/>
    <w:rsid w:val="003A09D2"/>
    <w:rsid w:val="003A1A3B"/>
    <w:rsid w:val="003A2498"/>
    <w:rsid w:val="003A6E96"/>
    <w:rsid w:val="003A774F"/>
    <w:rsid w:val="003B1414"/>
    <w:rsid w:val="003B1AA4"/>
    <w:rsid w:val="003B27F2"/>
    <w:rsid w:val="003B3090"/>
    <w:rsid w:val="003B5632"/>
    <w:rsid w:val="003C193E"/>
    <w:rsid w:val="003C517D"/>
    <w:rsid w:val="003C64AA"/>
    <w:rsid w:val="003C656B"/>
    <w:rsid w:val="003D0CAE"/>
    <w:rsid w:val="003D28CC"/>
    <w:rsid w:val="003D59BA"/>
    <w:rsid w:val="003D6CF7"/>
    <w:rsid w:val="003E079C"/>
    <w:rsid w:val="003E68AA"/>
    <w:rsid w:val="003F587F"/>
    <w:rsid w:val="003F693A"/>
    <w:rsid w:val="003F7EE7"/>
    <w:rsid w:val="0041072E"/>
    <w:rsid w:val="00411EBA"/>
    <w:rsid w:val="00412428"/>
    <w:rsid w:val="00414E24"/>
    <w:rsid w:val="00415F4F"/>
    <w:rsid w:val="00417167"/>
    <w:rsid w:val="004223BC"/>
    <w:rsid w:val="00422E95"/>
    <w:rsid w:val="004264DC"/>
    <w:rsid w:val="00430B03"/>
    <w:rsid w:val="00433360"/>
    <w:rsid w:val="00433CCF"/>
    <w:rsid w:val="004349A8"/>
    <w:rsid w:val="00435DC9"/>
    <w:rsid w:val="00441293"/>
    <w:rsid w:val="004430F6"/>
    <w:rsid w:val="0044411B"/>
    <w:rsid w:val="0044453C"/>
    <w:rsid w:val="00444B1F"/>
    <w:rsid w:val="00452238"/>
    <w:rsid w:val="00453F45"/>
    <w:rsid w:val="0045543B"/>
    <w:rsid w:val="00456146"/>
    <w:rsid w:val="004565C4"/>
    <w:rsid w:val="00456F1E"/>
    <w:rsid w:val="00457D40"/>
    <w:rsid w:val="00460D18"/>
    <w:rsid w:val="00461745"/>
    <w:rsid w:val="00462BDB"/>
    <w:rsid w:val="00462F26"/>
    <w:rsid w:val="0046391F"/>
    <w:rsid w:val="004658A1"/>
    <w:rsid w:val="0047108A"/>
    <w:rsid w:val="00473CFF"/>
    <w:rsid w:val="004744E0"/>
    <w:rsid w:val="0047543F"/>
    <w:rsid w:val="00476B27"/>
    <w:rsid w:val="004802C7"/>
    <w:rsid w:val="0048076D"/>
    <w:rsid w:val="00481913"/>
    <w:rsid w:val="00482989"/>
    <w:rsid w:val="004829DD"/>
    <w:rsid w:val="004832C2"/>
    <w:rsid w:val="0048351F"/>
    <w:rsid w:val="00485B13"/>
    <w:rsid w:val="00485D7A"/>
    <w:rsid w:val="00487353"/>
    <w:rsid w:val="00491F76"/>
    <w:rsid w:val="00494844"/>
    <w:rsid w:val="00495E0A"/>
    <w:rsid w:val="00496130"/>
    <w:rsid w:val="004969BE"/>
    <w:rsid w:val="00496A78"/>
    <w:rsid w:val="004A22B8"/>
    <w:rsid w:val="004A28DC"/>
    <w:rsid w:val="004A2927"/>
    <w:rsid w:val="004A4D2D"/>
    <w:rsid w:val="004B1740"/>
    <w:rsid w:val="004B1A8A"/>
    <w:rsid w:val="004B5CE4"/>
    <w:rsid w:val="004B6085"/>
    <w:rsid w:val="004C2FEB"/>
    <w:rsid w:val="004C441A"/>
    <w:rsid w:val="004C49C9"/>
    <w:rsid w:val="004C6231"/>
    <w:rsid w:val="004C70FB"/>
    <w:rsid w:val="004C7C24"/>
    <w:rsid w:val="004D43AB"/>
    <w:rsid w:val="004D5D57"/>
    <w:rsid w:val="004D7008"/>
    <w:rsid w:val="004D7E24"/>
    <w:rsid w:val="004E1A1E"/>
    <w:rsid w:val="004E2AED"/>
    <w:rsid w:val="004E3BEC"/>
    <w:rsid w:val="004E4550"/>
    <w:rsid w:val="004E6A26"/>
    <w:rsid w:val="004E6C9C"/>
    <w:rsid w:val="004F1BE5"/>
    <w:rsid w:val="004F1C42"/>
    <w:rsid w:val="004F39E5"/>
    <w:rsid w:val="004F4E59"/>
    <w:rsid w:val="004F5E76"/>
    <w:rsid w:val="00500084"/>
    <w:rsid w:val="00502DE6"/>
    <w:rsid w:val="00503500"/>
    <w:rsid w:val="00504F62"/>
    <w:rsid w:val="00513215"/>
    <w:rsid w:val="00513BFB"/>
    <w:rsid w:val="00513F2C"/>
    <w:rsid w:val="0051490F"/>
    <w:rsid w:val="00514B1B"/>
    <w:rsid w:val="005169FB"/>
    <w:rsid w:val="00516A63"/>
    <w:rsid w:val="00517593"/>
    <w:rsid w:val="00522E0E"/>
    <w:rsid w:val="00523A90"/>
    <w:rsid w:val="00523CAA"/>
    <w:rsid w:val="00526D74"/>
    <w:rsid w:val="00527398"/>
    <w:rsid w:val="005309B5"/>
    <w:rsid w:val="00533AF8"/>
    <w:rsid w:val="00535F39"/>
    <w:rsid w:val="00536B60"/>
    <w:rsid w:val="005373FE"/>
    <w:rsid w:val="005416FB"/>
    <w:rsid w:val="005418AC"/>
    <w:rsid w:val="0054405F"/>
    <w:rsid w:val="0054504F"/>
    <w:rsid w:val="00545671"/>
    <w:rsid w:val="005461A0"/>
    <w:rsid w:val="005479B6"/>
    <w:rsid w:val="00553FE5"/>
    <w:rsid w:val="00554B6B"/>
    <w:rsid w:val="005567DA"/>
    <w:rsid w:val="0055714A"/>
    <w:rsid w:val="00564544"/>
    <w:rsid w:val="00566077"/>
    <w:rsid w:val="005708E6"/>
    <w:rsid w:val="00571FBE"/>
    <w:rsid w:val="005723D3"/>
    <w:rsid w:val="00572F09"/>
    <w:rsid w:val="0057317F"/>
    <w:rsid w:val="00573CBE"/>
    <w:rsid w:val="00574981"/>
    <w:rsid w:val="00575414"/>
    <w:rsid w:val="0057699C"/>
    <w:rsid w:val="00577609"/>
    <w:rsid w:val="00580309"/>
    <w:rsid w:val="00580BE8"/>
    <w:rsid w:val="00585EF4"/>
    <w:rsid w:val="00586686"/>
    <w:rsid w:val="00587770"/>
    <w:rsid w:val="00590302"/>
    <w:rsid w:val="00590A8F"/>
    <w:rsid w:val="00592E55"/>
    <w:rsid w:val="0059316A"/>
    <w:rsid w:val="0059677B"/>
    <w:rsid w:val="00597468"/>
    <w:rsid w:val="005A43C1"/>
    <w:rsid w:val="005A4683"/>
    <w:rsid w:val="005A5FB7"/>
    <w:rsid w:val="005A7BA6"/>
    <w:rsid w:val="005B1C56"/>
    <w:rsid w:val="005B2352"/>
    <w:rsid w:val="005B256A"/>
    <w:rsid w:val="005B275D"/>
    <w:rsid w:val="005B66C3"/>
    <w:rsid w:val="005C4099"/>
    <w:rsid w:val="005C4347"/>
    <w:rsid w:val="005C51AD"/>
    <w:rsid w:val="005C6304"/>
    <w:rsid w:val="005D567C"/>
    <w:rsid w:val="005D621E"/>
    <w:rsid w:val="005D6AFC"/>
    <w:rsid w:val="005D775C"/>
    <w:rsid w:val="005D78EE"/>
    <w:rsid w:val="005E037F"/>
    <w:rsid w:val="005E4160"/>
    <w:rsid w:val="005E5A3F"/>
    <w:rsid w:val="005E6C30"/>
    <w:rsid w:val="005F1AB8"/>
    <w:rsid w:val="005F2061"/>
    <w:rsid w:val="005F3029"/>
    <w:rsid w:val="005F30EC"/>
    <w:rsid w:val="005F36A3"/>
    <w:rsid w:val="0060100E"/>
    <w:rsid w:val="0060564A"/>
    <w:rsid w:val="00605AE7"/>
    <w:rsid w:val="006062EB"/>
    <w:rsid w:val="00607A03"/>
    <w:rsid w:val="00611091"/>
    <w:rsid w:val="0061650F"/>
    <w:rsid w:val="0062463C"/>
    <w:rsid w:val="006247E2"/>
    <w:rsid w:val="00626026"/>
    <w:rsid w:val="00626ED6"/>
    <w:rsid w:val="006305C2"/>
    <w:rsid w:val="00631792"/>
    <w:rsid w:val="00635355"/>
    <w:rsid w:val="0063656B"/>
    <w:rsid w:val="00641681"/>
    <w:rsid w:val="00641D1F"/>
    <w:rsid w:val="006427EB"/>
    <w:rsid w:val="00643E6B"/>
    <w:rsid w:val="00644761"/>
    <w:rsid w:val="00644CAE"/>
    <w:rsid w:val="006511BB"/>
    <w:rsid w:val="00652555"/>
    <w:rsid w:val="00655125"/>
    <w:rsid w:val="00656F4A"/>
    <w:rsid w:val="00657E03"/>
    <w:rsid w:val="006604F9"/>
    <w:rsid w:val="0066325E"/>
    <w:rsid w:val="00665601"/>
    <w:rsid w:val="006671A6"/>
    <w:rsid w:val="00667AF0"/>
    <w:rsid w:val="00671471"/>
    <w:rsid w:val="00671CCB"/>
    <w:rsid w:val="00672D87"/>
    <w:rsid w:val="00673813"/>
    <w:rsid w:val="006741B2"/>
    <w:rsid w:val="00675A9F"/>
    <w:rsid w:val="006769B3"/>
    <w:rsid w:val="00676B9B"/>
    <w:rsid w:val="00681BCB"/>
    <w:rsid w:val="00683109"/>
    <w:rsid w:val="00684C72"/>
    <w:rsid w:val="00685228"/>
    <w:rsid w:val="00685418"/>
    <w:rsid w:val="00686864"/>
    <w:rsid w:val="006906A6"/>
    <w:rsid w:val="00691F9D"/>
    <w:rsid w:val="00693148"/>
    <w:rsid w:val="006940D4"/>
    <w:rsid w:val="00695326"/>
    <w:rsid w:val="006A0D9C"/>
    <w:rsid w:val="006A19FC"/>
    <w:rsid w:val="006A1A2B"/>
    <w:rsid w:val="006A208C"/>
    <w:rsid w:val="006A282E"/>
    <w:rsid w:val="006A6642"/>
    <w:rsid w:val="006A76DE"/>
    <w:rsid w:val="006A7A60"/>
    <w:rsid w:val="006B0242"/>
    <w:rsid w:val="006B1206"/>
    <w:rsid w:val="006B1BA6"/>
    <w:rsid w:val="006B1F85"/>
    <w:rsid w:val="006B573D"/>
    <w:rsid w:val="006B5F60"/>
    <w:rsid w:val="006B6D29"/>
    <w:rsid w:val="006B7373"/>
    <w:rsid w:val="006C43CB"/>
    <w:rsid w:val="006D0551"/>
    <w:rsid w:val="006D1AEB"/>
    <w:rsid w:val="006D63FD"/>
    <w:rsid w:val="006E4ABA"/>
    <w:rsid w:val="006E4B6A"/>
    <w:rsid w:val="006E6060"/>
    <w:rsid w:val="006E6B2B"/>
    <w:rsid w:val="006E7201"/>
    <w:rsid w:val="006E7AC8"/>
    <w:rsid w:val="006F3ECE"/>
    <w:rsid w:val="006F6152"/>
    <w:rsid w:val="006F6840"/>
    <w:rsid w:val="006F749A"/>
    <w:rsid w:val="006F7E4E"/>
    <w:rsid w:val="00700602"/>
    <w:rsid w:val="00700CD8"/>
    <w:rsid w:val="007015B5"/>
    <w:rsid w:val="007024E3"/>
    <w:rsid w:val="00702E11"/>
    <w:rsid w:val="007067D1"/>
    <w:rsid w:val="00706C89"/>
    <w:rsid w:val="007073E2"/>
    <w:rsid w:val="00710105"/>
    <w:rsid w:val="007111E5"/>
    <w:rsid w:val="0071427F"/>
    <w:rsid w:val="00716B6B"/>
    <w:rsid w:val="00716FD6"/>
    <w:rsid w:val="00723434"/>
    <w:rsid w:val="00726043"/>
    <w:rsid w:val="00726318"/>
    <w:rsid w:val="00732213"/>
    <w:rsid w:val="00734354"/>
    <w:rsid w:val="0073486F"/>
    <w:rsid w:val="0073553F"/>
    <w:rsid w:val="00737683"/>
    <w:rsid w:val="00740388"/>
    <w:rsid w:val="00740520"/>
    <w:rsid w:val="00742739"/>
    <w:rsid w:val="00742AA4"/>
    <w:rsid w:val="00742C05"/>
    <w:rsid w:val="0074373F"/>
    <w:rsid w:val="00744A6E"/>
    <w:rsid w:val="00744D36"/>
    <w:rsid w:val="0074552B"/>
    <w:rsid w:val="007456E3"/>
    <w:rsid w:val="00745716"/>
    <w:rsid w:val="00746598"/>
    <w:rsid w:val="00753FD9"/>
    <w:rsid w:val="007541FC"/>
    <w:rsid w:val="007545B2"/>
    <w:rsid w:val="007545DE"/>
    <w:rsid w:val="0075498A"/>
    <w:rsid w:val="00755B65"/>
    <w:rsid w:val="00755DE4"/>
    <w:rsid w:val="007569B2"/>
    <w:rsid w:val="00756F93"/>
    <w:rsid w:val="00757E07"/>
    <w:rsid w:val="00760B46"/>
    <w:rsid w:val="00761DB9"/>
    <w:rsid w:val="007629B5"/>
    <w:rsid w:val="0076472B"/>
    <w:rsid w:val="00765BE7"/>
    <w:rsid w:val="00770DB9"/>
    <w:rsid w:val="00772A1E"/>
    <w:rsid w:val="00773500"/>
    <w:rsid w:val="00776678"/>
    <w:rsid w:val="00781DC7"/>
    <w:rsid w:val="007837C1"/>
    <w:rsid w:val="00783E70"/>
    <w:rsid w:val="00785A1B"/>
    <w:rsid w:val="00785F03"/>
    <w:rsid w:val="00786187"/>
    <w:rsid w:val="00787C06"/>
    <w:rsid w:val="00791481"/>
    <w:rsid w:val="00793922"/>
    <w:rsid w:val="007970F4"/>
    <w:rsid w:val="00797E69"/>
    <w:rsid w:val="007A0E75"/>
    <w:rsid w:val="007A0EC6"/>
    <w:rsid w:val="007A3375"/>
    <w:rsid w:val="007A3490"/>
    <w:rsid w:val="007A3930"/>
    <w:rsid w:val="007A3A60"/>
    <w:rsid w:val="007B63C7"/>
    <w:rsid w:val="007C42FF"/>
    <w:rsid w:val="007C634A"/>
    <w:rsid w:val="007D0543"/>
    <w:rsid w:val="007E3442"/>
    <w:rsid w:val="007E7287"/>
    <w:rsid w:val="007F02E2"/>
    <w:rsid w:val="007F14C4"/>
    <w:rsid w:val="007F2CBD"/>
    <w:rsid w:val="007F4D3D"/>
    <w:rsid w:val="007F51CB"/>
    <w:rsid w:val="007F6731"/>
    <w:rsid w:val="007F67D4"/>
    <w:rsid w:val="008019C6"/>
    <w:rsid w:val="00802A9B"/>
    <w:rsid w:val="00803A2E"/>
    <w:rsid w:val="00804C22"/>
    <w:rsid w:val="0080524D"/>
    <w:rsid w:val="00807AEF"/>
    <w:rsid w:val="008137D1"/>
    <w:rsid w:val="008153AA"/>
    <w:rsid w:val="0081692A"/>
    <w:rsid w:val="00817ACC"/>
    <w:rsid w:val="008202B4"/>
    <w:rsid w:val="0082054E"/>
    <w:rsid w:val="008221B7"/>
    <w:rsid w:val="008239DA"/>
    <w:rsid w:val="00824711"/>
    <w:rsid w:val="00824D44"/>
    <w:rsid w:val="008252A1"/>
    <w:rsid w:val="008300F7"/>
    <w:rsid w:val="008302B0"/>
    <w:rsid w:val="00830C4E"/>
    <w:rsid w:val="0083244F"/>
    <w:rsid w:val="00832F9B"/>
    <w:rsid w:val="00833E94"/>
    <w:rsid w:val="008358BB"/>
    <w:rsid w:val="008417B3"/>
    <w:rsid w:val="00841B5F"/>
    <w:rsid w:val="00842C51"/>
    <w:rsid w:val="00851A49"/>
    <w:rsid w:val="00856A55"/>
    <w:rsid w:val="00856EEA"/>
    <w:rsid w:val="00857623"/>
    <w:rsid w:val="008638F8"/>
    <w:rsid w:val="00864A72"/>
    <w:rsid w:val="0086553B"/>
    <w:rsid w:val="00866E2C"/>
    <w:rsid w:val="00867FB2"/>
    <w:rsid w:val="008704A7"/>
    <w:rsid w:val="008713FD"/>
    <w:rsid w:val="008722BF"/>
    <w:rsid w:val="00872EEB"/>
    <w:rsid w:val="00873023"/>
    <w:rsid w:val="00873614"/>
    <w:rsid w:val="0088069B"/>
    <w:rsid w:val="00880DD7"/>
    <w:rsid w:val="00881FC6"/>
    <w:rsid w:val="008840E6"/>
    <w:rsid w:val="0088450F"/>
    <w:rsid w:val="008906E3"/>
    <w:rsid w:val="00893BFC"/>
    <w:rsid w:val="00894B8C"/>
    <w:rsid w:val="00896FB2"/>
    <w:rsid w:val="008976FB"/>
    <w:rsid w:val="00897A7C"/>
    <w:rsid w:val="008A6DF8"/>
    <w:rsid w:val="008A6E5D"/>
    <w:rsid w:val="008A73AC"/>
    <w:rsid w:val="008A7EAA"/>
    <w:rsid w:val="008B0063"/>
    <w:rsid w:val="008B1A2F"/>
    <w:rsid w:val="008B267E"/>
    <w:rsid w:val="008B54C5"/>
    <w:rsid w:val="008C19D4"/>
    <w:rsid w:val="008C37E1"/>
    <w:rsid w:val="008C4637"/>
    <w:rsid w:val="008C5A53"/>
    <w:rsid w:val="008C6D08"/>
    <w:rsid w:val="008D35B1"/>
    <w:rsid w:val="008D467C"/>
    <w:rsid w:val="008D59E3"/>
    <w:rsid w:val="008D6BC9"/>
    <w:rsid w:val="008D70D0"/>
    <w:rsid w:val="008D7B46"/>
    <w:rsid w:val="008E0D7A"/>
    <w:rsid w:val="008E18B7"/>
    <w:rsid w:val="008E2E60"/>
    <w:rsid w:val="008E3297"/>
    <w:rsid w:val="008E4835"/>
    <w:rsid w:val="008E5F1D"/>
    <w:rsid w:val="008F034A"/>
    <w:rsid w:val="008F1716"/>
    <w:rsid w:val="008F2A8A"/>
    <w:rsid w:val="008F4216"/>
    <w:rsid w:val="009003BB"/>
    <w:rsid w:val="00904E4A"/>
    <w:rsid w:val="00904ECC"/>
    <w:rsid w:val="00905149"/>
    <w:rsid w:val="009058E6"/>
    <w:rsid w:val="00907763"/>
    <w:rsid w:val="009145FE"/>
    <w:rsid w:val="0091659B"/>
    <w:rsid w:val="00916794"/>
    <w:rsid w:val="00917FDB"/>
    <w:rsid w:val="00922716"/>
    <w:rsid w:val="00923C4C"/>
    <w:rsid w:val="00924B55"/>
    <w:rsid w:val="00924C3A"/>
    <w:rsid w:val="00925457"/>
    <w:rsid w:val="00930189"/>
    <w:rsid w:val="00931D67"/>
    <w:rsid w:val="00941114"/>
    <w:rsid w:val="00945B5A"/>
    <w:rsid w:val="009512C3"/>
    <w:rsid w:val="00951A54"/>
    <w:rsid w:val="009522FD"/>
    <w:rsid w:val="00953188"/>
    <w:rsid w:val="00964BC2"/>
    <w:rsid w:val="00965E7D"/>
    <w:rsid w:val="00967AFC"/>
    <w:rsid w:val="00970CFA"/>
    <w:rsid w:val="0097157C"/>
    <w:rsid w:val="00971775"/>
    <w:rsid w:val="0097321D"/>
    <w:rsid w:val="009734F6"/>
    <w:rsid w:val="00973CA7"/>
    <w:rsid w:val="00975383"/>
    <w:rsid w:val="009778B4"/>
    <w:rsid w:val="00980E43"/>
    <w:rsid w:val="009819C8"/>
    <w:rsid w:val="00983A7B"/>
    <w:rsid w:val="00985555"/>
    <w:rsid w:val="00985C12"/>
    <w:rsid w:val="0098638B"/>
    <w:rsid w:val="009870FC"/>
    <w:rsid w:val="0099017A"/>
    <w:rsid w:val="00991361"/>
    <w:rsid w:val="00992C1B"/>
    <w:rsid w:val="00993594"/>
    <w:rsid w:val="00993668"/>
    <w:rsid w:val="00994782"/>
    <w:rsid w:val="00997D7C"/>
    <w:rsid w:val="009A0752"/>
    <w:rsid w:val="009A2CC1"/>
    <w:rsid w:val="009A4FDE"/>
    <w:rsid w:val="009A5B00"/>
    <w:rsid w:val="009A6EE6"/>
    <w:rsid w:val="009B56EC"/>
    <w:rsid w:val="009B6848"/>
    <w:rsid w:val="009B693A"/>
    <w:rsid w:val="009B71A3"/>
    <w:rsid w:val="009C1A51"/>
    <w:rsid w:val="009C35C2"/>
    <w:rsid w:val="009C392F"/>
    <w:rsid w:val="009C73D2"/>
    <w:rsid w:val="009C7BC5"/>
    <w:rsid w:val="009D0A96"/>
    <w:rsid w:val="009D11F9"/>
    <w:rsid w:val="009D286F"/>
    <w:rsid w:val="009D29BD"/>
    <w:rsid w:val="009D315D"/>
    <w:rsid w:val="009D523C"/>
    <w:rsid w:val="009D59A9"/>
    <w:rsid w:val="009D606D"/>
    <w:rsid w:val="009E102B"/>
    <w:rsid w:val="009E55AE"/>
    <w:rsid w:val="009E657F"/>
    <w:rsid w:val="009E6C01"/>
    <w:rsid w:val="009F2276"/>
    <w:rsid w:val="009F4284"/>
    <w:rsid w:val="009F4E86"/>
    <w:rsid w:val="009F5898"/>
    <w:rsid w:val="009F5F39"/>
    <w:rsid w:val="00A025BC"/>
    <w:rsid w:val="00A0319E"/>
    <w:rsid w:val="00A03785"/>
    <w:rsid w:val="00A03C57"/>
    <w:rsid w:val="00A04702"/>
    <w:rsid w:val="00A0471C"/>
    <w:rsid w:val="00A0494B"/>
    <w:rsid w:val="00A05F77"/>
    <w:rsid w:val="00A06DA0"/>
    <w:rsid w:val="00A11B1B"/>
    <w:rsid w:val="00A122D1"/>
    <w:rsid w:val="00A14299"/>
    <w:rsid w:val="00A1620D"/>
    <w:rsid w:val="00A206F1"/>
    <w:rsid w:val="00A22128"/>
    <w:rsid w:val="00A221FA"/>
    <w:rsid w:val="00A226BC"/>
    <w:rsid w:val="00A22B79"/>
    <w:rsid w:val="00A22DE3"/>
    <w:rsid w:val="00A23360"/>
    <w:rsid w:val="00A25C0D"/>
    <w:rsid w:val="00A32819"/>
    <w:rsid w:val="00A32C40"/>
    <w:rsid w:val="00A345C6"/>
    <w:rsid w:val="00A372F8"/>
    <w:rsid w:val="00A40335"/>
    <w:rsid w:val="00A405F0"/>
    <w:rsid w:val="00A4076D"/>
    <w:rsid w:val="00A41D19"/>
    <w:rsid w:val="00A41E51"/>
    <w:rsid w:val="00A42CEC"/>
    <w:rsid w:val="00A448BD"/>
    <w:rsid w:val="00A46692"/>
    <w:rsid w:val="00A46D6E"/>
    <w:rsid w:val="00A472CE"/>
    <w:rsid w:val="00A47A01"/>
    <w:rsid w:val="00A47E0F"/>
    <w:rsid w:val="00A50124"/>
    <w:rsid w:val="00A56441"/>
    <w:rsid w:val="00A5664B"/>
    <w:rsid w:val="00A56A6F"/>
    <w:rsid w:val="00A60895"/>
    <w:rsid w:val="00A62995"/>
    <w:rsid w:val="00A62A34"/>
    <w:rsid w:val="00A62A6A"/>
    <w:rsid w:val="00A63384"/>
    <w:rsid w:val="00A64C94"/>
    <w:rsid w:val="00A7067A"/>
    <w:rsid w:val="00A74E74"/>
    <w:rsid w:val="00A77072"/>
    <w:rsid w:val="00A77CBA"/>
    <w:rsid w:val="00A81BF3"/>
    <w:rsid w:val="00A83212"/>
    <w:rsid w:val="00A8485F"/>
    <w:rsid w:val="00A853D8"/>
    <w:rsid w:val="00A86A24"/>
    <w:rsid w:val="00A91230"/>
    <w:rsid w:val="00A92C1F"/>
    <w:rsid w:val="00A93600"/>
    <w:rsid w:val="00A94551"/>
    <w:rsid w:val="00AA02D5"/>
    <w:rsid w:val="00AA13C0"/>
    <w:rsid w:val="00AA21BF"/>
    <w:rsid w:val="00AA33B2"/>
    <w:rsid w:val="00AA3628"/>
    <w:rsid w:val="00AA70C6"/>
    <w:rsid w:val="00AB1F4D"/>
    <w:rsid w:val="00AB28B8"/>
    <w:rsid w:val="00AB3A50"/>
    <w:rsid w:val="00AB44F2"/>
    <w:rsid w:val="00AB6053"/>
    <w:rsid w:val="00AB735E"/>
    <w:rsid w:val="00AB7A22"/>
    <w:rsid w:val="00AC2835"/>
    <w:rsid w:val="00AC2E0A"/>
    <w:rsid w:val="00AC402B"/>
    <w:rsid w:val="00AC4090"/>
    <w:rsid w:val="00AC54D6"/>
    <w:rsid w:val="00AC5837"/>
    <w:rsid w:val="00AE2768"/>
    <w:rsid w:val="00AE2FEC"/>
    <w:rsid w:val="00AE452D"/>
    <w:rsid w:val="00AE5EE3"/>
    <w:rsid w:val="00AE5FF6"/>
    <w:rsid w:val="00AE7CF7"/>
    <w:rsid w:val="00AF0632"/>
    <w:rsid w:val="00AF109C"/>
    <w:rsid w:val="00AF10B1"/>
    <w:rsid w:val="00AF3740"/>
    <w:rsid w:val="00AF59A2"/>
    <w:rsid w:val="00AF5AD7"/>
    <w:rsid w:val="00B00585"/>
    <w:rsid w:val="00B0369A"/>
    <w:rsid w:val="00B14723"/>
    <w:rsid w:val="00B17162"/>
    <w:rsid w:val="00B22CB0"/>
    <w:rsid w:val="00B2546A"/>
    <w:rsid w:val="00B26E6A"/>
    <w:rsid w:val="00B2741A"/>
    <w:rsid w:val="00B30F14"/>
    <w:rsid w:val="00B33018"/>
    <w:rsid w:val="00B33A60"/>
    <w:rsid w:val="00B33DD8"/>
    <w:rsid w:val="00B34F65"/>
    <w:rsid w:val="00B40BCB"/>
    <w:rsid w:val="00B40CDD"/>
    <w:rsid w:val="00B44930"/>
    <w:rsid w:val="00B465C5"/>
    <w:rsid w:val="00B46A99"/>
    <w:rsid w:val="00B5009B"/>
    <w:rsid w:val="00B500CA"/>
    <w:rsid w:val="00B514F2"/>
    <w:rsid w:val="00B522DC"/>
    <w:rsid w:val="00B62844"/>
    <w:rsid w:val="00B64274"/>
    <w:rsid w:val="00B658E7"/>
    <w:rsid w:val="00B65A1D"/>
    <w:rsid w:val="00B66C62"/>
    <w:rsid w:val="00B6709C"/>
    <w:rsid w:val="00B67176"/>
    <w:rsid w:val="00B70374"/>
    <w:rsid w:val="00B72873"/>
    <w:rsid w:val="00B729E0"/>
    <w:rsid w:val="00B7412D"/>
    <w:rsid w:val="00B741F8"/>
    <w:rsid w:val="00B74C3E"/>
    <w:rsid w:val="00B84B8B"/>
    <w:rsid w:val="00B9036D"/>
    <w:rsid w:val="00B91EA0"/>
    <w:rsid w:val="00B9328E"/>
    <w:rsid w:val="00B932CB"/>
    <w:rsid w:val="00B9737A"/>
    <w:rsid w:val="00BA0D12"/>
    <w:rsid w:val="00BA1E99"/>
    <w:rsid w:val="00BA22F6"/>
    <w:rsid w:val="00BA37DC"/>
    <w:rsid w:val="00BA3ADD"/>
    <w:rsid w:val="00BA418F"/>
    <w:rsid w:val="00BA5332"/>
    <w:rsid w:val="00BB073D"/>
    <w:rsid w:val="00BB339C"/>
    <w:rsid w:val="00BC1788"/>
    <w:rsid w:val="00BC3E2E"/>
    <w:rsid w:val="00BC613C"/>
    <w:rsid w:val="00BD04F1"/>
    <w:rsid w:val="00BD0637"/>
    <w:rsid w:val="00BD0BC3"/>
    <w:rsid w:val="00BD2801"/>
    <w:rsid w:val="00BD53CF"/>
    <w:rsid w:val="00BD594E"/>
    <w:rsid w:val="00BD6728"/>
    <w:rsid w:val="00BD72D1"/>
    <w:rsid w:val="00BE4099"/>
    <w:rsid w:val="00BE4C88"/>
    <w:rsid w:val="00BF1C48"/>
    <w:rsid w:val="00BF2B7B"/>
    <w:rsid w:val="00BF2D2E"/>
    <w:rsid w:val="00C02BC4"/>
    <w:rsid w:val="00C043A5"/>
    <w:rsid w:val="00C06686"/>
    <w:rsid w:val="00C06749"/>
    <w:rsid w:val="00C0782B"/>
    <w:rsid w:val="00C07FE5"/>
    <w:rsid w:val="00C10255"/>
    <w:rsid w:val="00C10F2A"/>
    <w:rsid w:val="00C11350"/>
    <w:rsid w:val="00C11FF4"/>
    <w:rsid w:val="00C12A1D"/>
    <w:rsid w:val="00C13373"/>
    <w:rsid w:val="00C13F09"/>
    <w:rsid w:val="00C1404E"/>
    <w:rsid w:val="00C17B5E"/>
    <w:rsid w:val="00C20421"/>
    <w:rsid w:val="00C21570"/>
    <w:rsid w:val="00C21599"/>
    <w:rsid w:val="00C22656"/>
    <w:rsid w:val="00C227FD"/>
    <w:rsid w:val="00C232DD"/>
    <w:rsid w:val="00C25230"/>
    <w:rsid w:val="00C25AFF"/>
    <w:rsid w:val="00C2704B"/>
    <w:rsid w:val="00C36C83"/>
    <w:rsid w:val="00C36EBB"/>
    <w:rsid w:val="00C36F58"/>
    <w:rsid w:val="00C426D9"/>
    <w:rsid w:val="00C446AD"/>
    <w:rsid w:val="00C479AC"/>
    <w:rsid w:val="00C47B59"/>
    <w:rsid w:val="00C47CDF"/>
    <w:rsid w:val="00C52167"/>
    <w:rsid w:val="00C53412"/>
    <w:rsid w:val="00C574A4"/>
    <w:rsid w:val="00C60826"/>
    <w:rsid w:val="00C60FC4"/>
    <w:rsid w:val="00C619DC"/>
    <w:rsid w:val="00C61CCA"/>
    <w:rsid w:val="00C6325B"/>
    <w:rsid w:val="00C633D7"/>
    <w:rsid w:val="00C64CEF"/>
    <w:rsid w:val="00C65803"/>
    <w:rsid w:val="00C66625"/>
    <w:rsid w:val="00C70302"/>
    <w:rsid w:val="00C730F8"/>
    <w:rsid w:val="00C73F78"/>
    <w:rsid w:val="00C76523"/>
    <w:rsid w:val="00C76862"/>
    <w:rsid w:val="00C76CA2"/>
    <w:rsid w:val="00C808F5"/>
    <w:rsid w:val="00C82CFB"/>
    <w:rsid w:val="00C83F7E"/>
    <w:rsid w:val="00C84351"/>
    <w:rsid w:val="00C84B63"/>
    <w:rsid w:val="00C91E19"/>
    <w:rsid w:val="00C93500"/>
    <w:rsid w:val="00C937C5"/>
    <w:rsid w:val="00C945CD"/>
    <w:rsid w:val="00C94E0B"/>
    <w:rsid w:val="00C95B60"/>
    <w:rsid w:val="00C9717A"/>
    <w:rsid w:val="00C97D03"/>
    <w:rsid w:val="00CA35BB"/>
    <w:rsid w:val="00CA79C6"/>
    <w:rsid w:val="00CB09D1"/>
    <w:rsid w:val="00CB1B9F"/>
    <w:rsid w:val="00CB3824"/>
    <w:rsid w:val="00CB389B"/>
    <w:rsid w:val="00CB3948"/>
    <w:rsid w:val="00CB3AB3"/>
    <w:rsid w:val="00CB54D1"/>
    <w:rsid w:val="00CC10E9"/>
    <w:rsid w:val="00CC1153"/>
    <w:rsid w:val="00CC298E"/>
    <w:rsid w:val="00CC4E0E"/>
    <w:rsid w:val="00CC5FD5"/>
    <w:rsid w:val="00CD0A99"/>
    <w:rsid w:val="00CD1F01"/>
    <w:rsid w:val="00CD3AF1"/>
    <w:rsid w:val="00CD4705"/>
    <w:rsid w:val="00CD47D0"/>
    <w:rsid w:val="00CD4C06"/>
    <w:rsid w:val="00CD565A"/>
    <w:rsid w:val="00CD5663"/>
    <w:rsid w:val="00CD6F1C"/>
    <w:rsid w:val="00CD768D"/>
    <w:rsid w:val="00CD7FC2"/>
    <w:rsid w:val="00CE1EE2"/>
    <w:rsid w:val="00CE20B7"/>
    <w:rsid w:val="00CE3628"/>
    <w:rsid w:val="00CE3AE3"/>
    <w:rsid w:val="00CE3FB7"/>
    <w:rsid w:val="00CF113B"/>
    <w:rsid w:val="00CF2764"/>
    <w:rsid w:val="00CF2958"/>
    <w:rsid w:val="00CF4671"/>
    <w:rsid w:val="00D00D65"/>
    <w:rsid w:val="00D02CCD"/>
    <w:rsid w:val="00D02EF7"/>
    <w:rsid w:val="00D0472B"/>
    <w:rsid w:val="00D04F9A"/>
    <w:rsid w:val="00D0520F"/>
    <w:rsid w:val="00D113DB"/>
    <w:rsid w:val="00D1197D"/>
    <w:rsid w:val="00D12CE7"/>
    <w:rsid w:val="00D130A3"/>
    <w:rsid w:val="00D132CB"/>
    <w:rsid w:val="00D14B98"/>
    <w:rsid w:val="00D17099"/>
    <w:rsid w:val="00D21460"/>
    <w:rsid w:val="00D21FEC"/>
    <w:rsid w:val="00D22920"/>
    <w:rsid w:val="00D2357D"/>
    <w:rsid w:val="00D313A6"/>
    <w:rsid w:val="00D32490"/>
    <w:rsid w:val="00D40352"/>
    <w:rsid w:val="00D4373F"/>
    <w:rsid w:val="00D43C4A"/>
    <w:rsid w:val="00D45835"/>
    <w:rsid w:val="00D4710E"/>
    <w:rsid w:val="00D47316"/>
    <w:rsid w:val="00D50428"/>
    <w:rsid w:val="00D50824"/>
    <w:rsid w:val="00D542F4"/>
    <w:rsid w:val="00D56181"/>
    <w:rsid w:val="00D6027C"/>
    <w:rsid w:val="00D60FAB"/>
    <w:rsid w:val="00D62688"/>
    <w:rsid w:val="00D62812"/>
    <w:rsid w:val="00D63F8B"/>
    <w:rsid w:val="00D6482A"/>
    <w:rsid w:val="00D64C39"/>
    <w:rsid w:val="00D65D07"/>
    <w:rsid w:val="00D73A35"/>
    <w:rsid w:val="00D809DE"/>
    <w:rsid w:val="00D82104"/>
    <w:rsid w:val="00D833CA"/>
    <w:rsid w:val="00D85A35"/>
    <w:rsid w:val="00D90E9F"/>
    <w:rsid w:val="00D92B02"/>
    <w:rsid w:val="00D93A86"/>
    <w:rsid w:val="00D94995"/>
    <w:rsid w:val="00D94C27"/>
    <w:rsid w:val="00D95D90"/>
    <w:rsid w:val="00D966D3"/>
    <w:rsid w:val="00D97B27"/>
    <w:rsid w:val="00DA1032"/>
    <w:rsid w:val="00DA20A5"/>
    <w:rsid w:val="00DA2D9F"/>
    <w:rsid w:val="00DA3455"/>
    <w:rsid w:val="00DA3803"/>
    <w:rsid w:val="00DA5E00"/>
    <w:rsid w:val="00DA5EA2"/>
    <w:rsid w:val="00DB0615"/>
    <w:rsid w:val="00DB1903"/>
    <w:rsid w:val="00DB1F1C"/>
    <w:rsid w:val="00DB2561"/>
    <w:rsid w:val="00DB35A5"/>
    <w:rsid w:val="00DB4B61"/>
    <w:rsid w:val="00DB55F3"/>
    <w:rsid w:val="00DB5FB8"/>
    <w:rsid w:val="00DC2B83"/>
    <w:rsid w:val="00DC323D"/>
    <w:rsid w:val="00DD3B2F"/>
    <w:rsid w:val="00DD7BAB"/>
    <w:rsid w:val="00DE0CDB"/>
    <w:rsid w:val="00DE17CB"/>
    <w:rsid w:val="00DE57EE"/>
    <w:rsid w:val="00DE6763"/>
    <w:rsid w:val="00DF025E"/>
    <w:rsid w:val="00DF1B66"/>
    <w:rsid w:val="00DF34B4"/>
    <w:rsid w:val="00DF412C"/>
    <w:rsid w:val="00DF60A6"/>
    <w:rsid w:val="00DF6658"/>
    <w:rsid w:val="00DF72CA"/>
    <w:rsid w:val="00DF79A9"/>
    <w:rsid w:val="00DF7EB0"/>
    <w:rsid w:val="00E001C9"/>
    <w:rsid w:val="00E0172F"/>
    <w:rsid w:val="00E02573"/>
    <w:rsid w:val="00E058DB"/>
    <w:rsid w:val="00E05E80"/>
    <w:rsid w:val="00E07C63"/>
    <w:rsid w:val="00E11100"/>
    <w:rsid w:val="00E12C98"/>
    <w:rsid w:val="00E12FB5"/>
    <w:rsid w:val="00E1416B"/>
    <w:rsid w:val="00E14858"/>
    <w:rsid w:val="00E173F2"/>
    <w:rsid w:val="00E17A0A"/>
    <w:rsid w:val="00E17A57"/>
    <w:rsid w:val="00E21928"/>
    <w:rsid w:val="00E21AC0"/>
    <w:rsid w:val="00E22734"/>
    <w:rsid w:val="00E253CF"/>
    <w:rsid w:val="00E26FFD"/>
    <w:rsid w:val="00E271CA"/>
    <w:rsid w:val="00E30870"/>
    <w:rsid w:val="00E312CA"/>
    <w:rsid w:val="00E32241"/>
    <w:rsid w:val="00E339A4"/>
    <w:rsid w:val="00E349F5"/>
    <w:rsid w:val="00E34DCF"/>
    <w:rsid w:val="00E468B7"/>
    <w:rsid w:val="00E46E47"/>
    <w:rsid w:val="00E517B8"/>
    <w:rsid w:val="00E529FF"/>
    <w:rsid w:val="00E53524"/>
    <w:rsid w:val="00E53EAF"/>
    <w:rsid w:val="00E54593"/>
    <w:rsid w:val="00E56447"/>
    <w:rsid w:val="00E60A64"/>
    <w:rsid w:val="00E61966"/>
    <w:rsid w:val="00E63739"/>
    <w:rsid w:val="00E63A1F"/>
    <w:rsid w:val="00E6460B"/>
    <w:rsid w:val="00E67791"/>
    <w:rsid w:val="00E72834"/>
    <w:rsid w:val="00E83AF1"/>
    <w:rsid w:val="00E904F5"/>
    <w:rsid w:val="00E90BE7"/>
    <w:rsid w:val="00E9208C"/>
    <w:rsid w:val="00E93510"/>
    <w:rsid w:val="00E93DE1"/>
    <w:rsid w:val="00E94A2D"/>
    <w:rsid w:val="00E9577A"/>
    <w:rsid w:val="00E95ECF"/>
    <w:rsid w:val="00E960FB"/>
    <w:rsid w:val="00E96239"/>
    <w:rsid w:val="00E97B9F"/>
    <w:rsid w:val="00EA1534"/>
    <w:rsid w:val="00EA216C"/>
    <w:rsid w:val="00EA3D0A"/>
    <w:rsid w:val="00EA414C"/>
    <w:rsid w:val="00EA438F"/>
    <w:rsid w:val="00EA5A03"/>
    <w:rsid w:val="00EB08D1"/>
    <w:rsid w:val="00EB21F3"/>
    <w:rsid w:val="00EB2E15"/>
    <w:rsid w:val="00EB47E1"/>
    <w:rsid w:val="00EB5004"/>
    <w:rsid w:val="00EB5031"/>
    <w:rsid w:val="00EB6B1A"/>
    <w:rsid w:val="00EB6D4F"/>
    <w:rsid w:val="00EC4C97"/>
    <w:rsid w:val="00EC4D2D"/>
    <w:rsid w:val="00ED3C98"/>
    <w:rsid w:val="00EE0D4A"/>
    <w:rsid w:val="00EE1001"/>
    <w:rsid w:val="00EE5CAF"/>
    <w:rsid w:val="00EE6253"/>
    <w:rsid w:val="00EE64AA"/>
    <w:rsid w:val="00EF0289"/>
    <w:rsid w:val="00EF2287"/>
    <w:rsid w:val="00EF2C69"/>
    <w:rsid w:val="00EF34EA"/>
    <w:rsid w:val="00EF39D0"/>
    <w:rsid w:val="00EF4471"/>
    <w:rsid w:val="00EF6761"/>
    <w:rsid w:val="00F00BAC"/>
    <w:rsid w:val="00F037E4"/>
    <w:rsid w:val="00F0392C"/>
    <w:rsid w:val="00F04509"/>
    <w:rsid w:val="00F06093"/>
    <w:rsid w:val="00F102D8"/>
    <w:rsid w:val="00F114E9"/>
    <w:rsid w:val="00F13447"/>
    <w:rsid w:val="00F159A7"/>
    <w:rsid w:val="00F16FE0"/>
    <w:rsid w:val="00F17E31"/>
    <w:rsid w:val="00F23067"/>
    <w:rsid w:val="00F23B75"/>
    <w:rsid w:val="00F2461F"/>
    <w:rsid w:val="00F27152"/>
    <w:rsid w:val="00F271F8"/>
    <w:rsid w:val="00F2783E"/>
    <w:rsid w:val="00F3176F"/>
    <w:rsid w:val="00F32513"/>
    <w:rsid w:val="00F32AB1"/>
    <w:rsid w:val="00F3305D"/>
    <w:rsid w:val="00F33A52"/>
    <w:rsid w:val="00F3519E"/>
    <w:rsid w:val="00F35BEB"/>
    <w:rsid w:val="00F367A8"/>
    <w:rsid w:val="00F41CE4"/>
    <w:rsid w:val="00F42DB3"/>
    <w:rsid w:val="00F435CC"/>
    <w:rsid w:val="00F6141B"/>
    <w:rsid w:val="00F618F6"/>
    <w:rsid w:val="00F63E80"/>
    <w:rsid w:val="00F7162D"/>
    <w:rsid w:val="00F73717"/>
    <w:rsid w:val="00F744EA"/>
    <w:rsid w:val="00F80E3F"/>
    <w:rsid w:val="00F82976"/>
    <w:rsid w:val="00F836CC"/>
    <w:rsid w:val="00F85DA2"/>
    <w:rsid w:val="00F86009"/>
    <w:rsid w:val="00F86BEB"/>
    <w:rsid w:val="00F87492"/>
    <w:rsid w:val="00F907CA"/>
    <w:rsid w:val="00F9177C"/>
    <w:rsid w:val="00F92B5E"/>
    <w:rsid w:val="00F96FCE"/>
    <w:rsid w:val="00FA05E4"/>
    <w:rsid w:val="00FA2B02"/>
    <w:rsid w:val="00FA3D4E"/>
    <w:rsid w:val="00FA6307"/>
    <w:rsid w:val="00FA7AB4"/>
    <w:rsid w:val="00FB0C3E"/>
    <w:rsid w:val="00FB3ACE"/>
    <w:rsid w:val="00FB4122"/>
    <w:rsid w:val="00FB62E5"/>
    <w:rsid w:val="00FB7158"/>
    <w:rsid w:val="00FC1559"/>
    <w:rsid w:val="00FC35A4"/>
    <w:rsid w:val="00FC4762"/>
    <w:rsid w:val="00FC4C3A"/>
    <w:rsid w:val="00FC63A4"/>
    <w:rsid w:val="00FC66A5"/>
    <w:rsid w:val="00FD093E"/>
    <w:rsid w:val="00FD1617"/>
    <w:rsid w:val="00FD174D"/>
    <w:rsid w:val="00FD6D53"/>
    <w:rsid w:val="00FD7712"/>
    <w:rsid w:val="00FE113C"/>
    <w:rsid w:val="00FE21FC"/>
    <w:rsid w:val="00FE4260"/>
    <w:rsid w:val="00FE47B2"/>
    <w:rsid w:val="00FF171A"/>
    <w:rsid w:val="00FF2320"/>
    <w:rsid w:val="00FF280A"/>
    <w:rsid w:val="00FF3F72"/>
    <w:rsid w:val="00FF51C7"/>
    <w:rsid w:val="00FF6030"/>
    <w:rsid w:val="00FF6C02"/>
    <w:rsid w:val="00FF6C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9FEC5"/>
  <w15:docId w15:val="{5D592C84-B74D-43B2-9114-4ED6C195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Arial"/>
        <w:color w:val="000000" w:themeColor="text1"/>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BC613C"/>
    <w:pPr>
      <w:spacing w:after="120" w:line="300" w:lineRule="auto"/>
    </w:pPr>
  </w:style>
  <w:style w:type="paragraph" w:styleId="Heading1">
    <w:name w:val="heading 1"/>
    <w:aliases w:val="~SectionHeading"/>
    <w:basedOn w:val="SecHeadNonToc"/>
    <w:next w:val="Normal"/>
    <w:link w:val="Heading1Char"/>
    <w:uiPriority w:val="9"/>
    <w:qFormat/>
    <w:rsid w:val="00356FD1"/>
    <w:pPr>
      <w:numPr>
        <w:numId w:val="5"/>
      </w:numPr>
      <w:outlineLvl w:val="0"/>
    </w:pPr>
  </w:style>
  <w:style w:type="paragraph" w:styleId="Heading2">
    <w:name w:val="heading 2"/>
    <w:aliases w:val="~SubHeading"/>
    <w:basedOn w:val="Normal"/>
    <w:next w:val="Normal"/>
    <w:link w:val="Heading2Char"/>
    <w:uiPriority w:val="9"/>
    <w:qFormat/>
    <w:rsid w:val="00C17B5E"/>
    <w:pPr>
      <w:spacing w:before="40" w:after="40" w:line="240" w:lineRule="auto"/>
      <w:outlineLvl w:val="1"/>
    </w:pPr>
    <w:rPr>
      <w:b/>
      <w:sz w:val="22"/>
      <w:szCs w:val="22"/>
    </w:rPr>
  </w:style>
  <w:style w:type="paragraph" w:styleId="Heading3">
    <w:name w:val="heading 3"/>
    <w:aliases w:val="~MinorSubHeading"/>
    <w:basedOn w:val="Heading2"/>
    <w:next w:val="Normal"/>
    <w:link w:val="Heading3Char"/>
    <w:uiPriority w:val="9"/>
    <w:semiHidden/>
    <w:qFormat/>
    <w:rsid w:val="00EE64AA"/>
    <w:pPr>
      <w:numPr>
        <w:ilvl w:val="2"/>
      </w:numPr>
      <w:outlineLvl w:val="2"/>
    </w:pPr>
    <w:rPr>
      <w:b w:val="0"/>
    </w:rPr>
  </w:style>
  <w:style w:type="paragraph" w:styleId="Heading4">
    <w:name w:val="heading 4"/>
    <w:aliases w:val="~Level4Heading"/>
    <w:basedOn w:val="Heading3"/>
    <w:next w:val="Normal"/>
    <w:link w:val="Heading4Char"/>
    <w:uiPriority w:val="9"/>
    <w:semiHidden/>
    <w:qFormat/>
    <w:rsid w:val="00EE64AA"/>
    <w:pPr>
      <w:numPr>
        <w:ilvl w:val="3"/>
      </w:numPr>
      <w:outlineLvl w:val="3"/>
    </w:pPr>
  </w:style>
  <w:style w:type="paragraph" w:styleId="Heading5">
    <w:name w:val="heading 5"/>
    <w:basedOn w:val="Normal"/>
    <w:next w:val="Normal"/>
    <w:link w:val="Heading5Char"/>
    <w:uiPriority w:val="9"/>
    <w:semiHidden/>
    <w:qFormat/>
    <w:rsid w:val="00EE64AA"/>
    <w:pPr>
      <w:keepNext/>
      <w:keepLines/>
      <w:numPr>
        <w:ilvl w:val="4"/>
        <w:numId w:val="4"/>
      </w:numPr>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EE64AA"/>
    <w:pPr>
      <w:keepNext/>
      <w:keepLines/>
      <w:numPr>
        <w:ilvl w:val="5"/>
        <w:numId w:val="4"/>
      </w:numPr>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qFormat/>
    <w:rsid w:val="00EE64AA"/>
    <w:pPr>
      <w:keepNext/>
      <w:keepLines/>
      <w:numPr>
        <w:ilvl w:val="6"/>
        <w:numId w:val="4"/>
      </w:numPr>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EE64AA"/>
    <w:pPr>
      <w:keepNext/>
      <w:keepLines/>
      <w:numPr>
        <w:ilvl w:val="7"/>
        <w:numId w:val="4"/>
      </w:numPr>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EE64AA"/>
    <w:pPr>
      <w:keepNext/>
      <w:keepLines/>
      <w:numPr>
        <w:ilvl w:val="8"/>
        <w:numId w:val="4"/>
      </w:numPr>
      <w:spacing w:before="20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
    <w:semiHidden/>
    <w:qFormat/>
    <w:rsid w:val="00EE64AA"/>
    <w:pPr>
      <w:spacing w:after="0" w:line="240" w:lineRule="auto"/>
    </w:pPr>
  </w:style>
  <w:style w:type="paragraph" w:customStyle="1" w:styleId="SecHeadNonToc">
    <w:name w:val="~SecHeadNonToc"/>
    <w:basedOn w:val="NoSpacing"/>
    <w:next w:val="Normal"/>
    <w:semiHidden/>
    <w:qFormat/>
    <w:rsid w:val="00744D36"/>
    <w:pPr>
      <w:keepNext/>
      <w:spacing w:before="440" w:after="240"/>
    </w:pPr>
    <w:rPr>
      <w:rFonts w:asciiTheme="majorHAnsi" w:hAnsiTheme="majorHAnsi"/>
      <w:b/>
      <w:color w:val="EC098D" w:themeColor="accent3"/>
      <w:sz w:val="28"/>
      <w:szCs w:val="28"/>
    </w:rPr>
  </w:style>
  <w:style w:type="paragraph" w:customStyle="1" w:styleId="AppendixDivider">
    <w:name w:val="~AppendixDivider"/>
    <w:basedOn w:val="SecHeadNonToc"/>
    <w:next w:val="Normal"/>
    <w:semiHidden/>
    <w:qFormat/>
    <w:rsid w:val="00EE64AA"/>
    <w:pPr>
      <w:outlineLvl w:val="0"/>
    </w:pPr>
  </w:style>
  <w:style w:type="paragraph" w:customStyle="1" w:styleId="AppHead">
    <w:name w:val="~AppHead"/>
    <w:basedOn w:val="SecHeadNonToc"/>
    <w:next w:val="Normal"/>
    <w:semiHidden/>
    <w:qFormat/>
    <w:rsid w:val="0027112D"/>
    <w:pPr>
      <w:spacing w:before="240"/>
      <w:outlineLvl w:val="0"/>
    </w:pPr>
  </w:style>
  <w:style w:type="paragraph" w:customStyle="1" w:styleId="AppSubHead">
    <w:name w:val="~AppSubHead"/>
    <w:basedOn w:val="AppHead"/>
    <w:next w:val="Normal"/>
    <w:semiHidden/>
    <w:qFormat/>
    <w:rsid w:val="0027112D"/>
    <w:pPr>
      <w:outlineLvl w:val="1"/>
    </w:pPr>
  </w:style>
  <w:style w:type="paragraph" w:customStyle="1" w:styleId="AppMinorSubHead">
    <w:name w:val="~AppMinorSubHead"/>
    <w:basedOn w:val="AppSubHead"/>
    <w:next w:val="Normal"/>
    <w:semiHidden/>
    <w:qFormat/>
    <w:rsid w:val="0027112D"/>
    <w:pPr>
      <w:outlineLvl w:val="2"/>
    </w:pPr>
    <w:rPr>
      <w:i/>
    </w:rPr>
  </w:style>
  <w:style w:type="paragraph" w:customStyle="1" w:styleId="BodyHeading">
    <w:name w:val="~BodyHeading"/>
    <w:basedOn w:val="Normal"/>
    <w:next w:val="Normal"/>
    <w:qFormat/>
    <w:rsid w:val="00EE64AA"/>
    <w:pPr>
      <w:keepNext/>
      <w:spacing w:before="120" w:line="240" w:lineRule="auto"/>
    </w:pPr>
    <w:rPr>
      <w:b/>
    </w:rPr>
  </w:style>
  <w:style w:type="paragraph" w:customStyle="1" w:styleId="BodyTextNum">
    <w:name w:val="~BodyTextNum"/>
    <w:basedOn w:val="Normal"/>
    <w:semiHidden/>
    <w:qFormat/>
    <w:rsid w:val="00AE5EE3"/>
  </w:style>
  <w:style w:type="paragraph" w:customStyle="1" w:styleId="Bullet1">
    <w:name w:val="~Bullet1"/>
    <w:basedOn w:val="Normal"/>
    <w:qFormat/>
    <w:rsid w:val="007F2CBD"/>
    <w:pPr>
      <w:numPr>
        <w:numId w:val="1"/>
      </w:numPr>
      <w:spacing w:line="276" w:lineRule="auto"/>
    </w:pPr>
    <w:rPr>
      <w:rFonts w:eastAsia="Calibri"/>
    </w:rPr>
  </w:style>
  <w:style w:type="paragraph" w:customStyle="1" w:styleId="Bullet2">
    <w:name w:val="~Bullet2"/>
    <w:basedOn w:val="Bullet1"/>
    <w:qFormat/>
    <w:rsid w:val="00EE64AA"/>
    <w:pPr>
      <w:numPr>
        <w:ilvl w:val="1"/>
      </w:numPr>
    </w:pPr>
  </w:style>
  <w:style w:type="paragraph" w:customStyle="1" w:styleId="Bullet3">
    <w:name w:val="~Bullet3"/>
    <w:basedOn w:val="Bullet2"/>
    <w:qFormat/>
    <w:rsid w:val="00EE64AA"/>
    <w:pPr>
      <w:numPr>
        <w:ilvl w:val="2"/>
      </w:numPr>
    </w:pPr>
  </w:style>
  <w:style w:type="paragraph" w:styleId="Caption">
    <w:name w:val="caption"/>
    <w:aliases w:val="~Caption"/>
    <w:basedOn w:val="BodyHeading"/>
    <w:next w:val="Normal"/>
    <w:link w:val="CaptionChar"/>
    <w:semiHidden/>
    <w:qFormat/>
    <w:rsid w:val="00EE64AA"/>
    <w:pPr>
      <w:spacing w:after="60"/>
    </w:pPr>
    <w:rPr>
      <w:rFonts w:eastAsia="Calibri"/>
    </w:rPr>
  </w:style>
  <w:style w:type="character" w:customStyle="1" w:styleId="CaptionChar">
    <w:name w:val="Caption Char"/>
    <w:aliases w:val="~Caption Char"/>
    <w:basedOn w:val="DefaultParagraphFont"/>
    <w:link w:val="Caption"/>
    <w:semiHidden/>
    <w:rsid w:val="00361E83"/>
    <w:rPr>
      <w:rFonts w:eastAsia="Calibri"/>
      <w:b/>
    </w:rPr>
  </w:style>
  <w:style w:type="paragraph" w:customStyle="1" w:styleId="CaptionWide">
    <w:name w:val="~CaptionWide"/>
    <w:basedOn w:val="Caption"/>
    <w:next w:val="Normal"/>
    <w:semiHidden/>
    <w:qFormat/>
    <w:rsid w:val="00EE64AA"/>
    <w:pPr>
      <w:ind w:left="-2552"/>
    </w:pPr>
    <w:rPr>
      <w:bCs/>
    </w:rPr>
  </w:style>
  <w:style w:type="paragraph" w:customStyle="1" w:styleId="Confidential">
    <w:name w:val="~Confidential"/>
    <w:basedOn w:val="NoSpacing"/>
    <w:semiHidden/>
    <w:qFormat/>
    <w:rsid w:val="00EE64AA"/>
  </w:style>
  <w:style w:type="paragraph" w:customStyle="1" w:styleId="DocClient">
    <w:name w:val="~DocClient"/>
    <w:basedOn w:val="NoSpacing"/>
    <w:semiHidden/>
    <w:qFormat/>
    <w:rsid w:val="00EE64AA"/>
  </w:style>
  <w:style w:type="paragraph" w:customStyle="1" w:styleId="DocDate">
    <w:name w:val="~DocDate"/>
    <w:basedOn w:val="Header"/>
    <w:semiHidden/>
    <w:qFormat/>
    <w:rsid w:val="00AC4090"/>
    <w:pPr>
      <w:spacing w:after="80"/>
      <w:ind w:left="85"/>
    </w:pPr>
    <w:rPr>
      <w:color w:val="FFFFFF" w:themeColor="background1"/>
      <w:sz w:val="22"/>
    </w:rPr>
  </w:style>
  <w:style w:type="paragraph" w:customStyle="1" w:styleId="DocSubTitle">
    <w:name w:val="~DocSubTitle"/>
    <w:basedOn w:val="NoSpacing"/>
    <w:semiHidden/>
    <w:qFormat/>
    <w:rsid w:val="00065E35"/>
    <w:pPr>
      <w:spacing w:before="120" w:after="120"/>
    </w:pPr>
    <w:rPr>
      <w:b/>
      <w:color w:val="522380" w:themeColor="accent1"/>
      <w:sz w:val="32"/>
    </w:rPr>
  </w:style>
  <w:style w:type="paragraph" w:customStyle="1" w:styleId="DocTitle">
    <w:name w:val="~DocTitle"/>
    <w:semiHidden/>
    <w:qFormat/>
    <w:rsid w:val="001E29E2"/>
    <w:pPr>
      <w:spacing w:after="0" w:line="228" w:lineRule="auto"/>
    </w:pPr>
    <w:rPr>
      <w:color w:val="522380" w:themeColor="accent1"/>
      <w:sz w:val="40"/>
      <w:szCs w:val="40"/>
    </w:rPr>
  </w:style>
  <w:style w:type="paragraph" w:customStyle="1" w:styleId="DocType">
    <w:name w:val="~DocType"/>
    <w:basedOn w:val="NoSpacing"/>
    <w:semiHidden/>
    <w:qFormat/>
    <w:rsid w:val="00EB21F3"/>
    <w:pPr>
      <w:framePr w:hSpace="181" w:wrap="around" w:vAnchor="text" w:hAnchor="text" w:y="-197"/>
      <w:suppressOverlap/>
    </w:pPr>
    <w:rPr>
      <w:b/>
      <w:color w:val="EC098D" w:themeColor="accent3"/>
      <w:sz w:val="60"/>
      <w:szCs w:val="60"/>
    </w:rPr>
  </w:style>
  <w:style w:type="paragraph" w:customStyle="1" w:styleId="Draft">
    <w:name w:val="~Draft"/>
    <w:basedOn w:val="NoSpacing"/>
    <w:semiHidden/>
    <w:qFormat/>
    <w:rsid w:val="00B84B8B"/>
    <w:pPr>
      <w:spacing w:before="140"/>
    </w:pPr>
  </w:style>
  <w:style w:type="paragraph" w:customStyle="1" w:styleId="ExecSumHead">
    <w:name w:val="~ExecSumHead"/>
    <w:basedOn w:val="SecHeadNonToc"/>
    <w:next w:val="Normal"/>
    <w:semiHidden/>
    <w:qFormat/>
    <w:rsid w:val="00EE64AA"/>
    <w:pPr>
      <w:outlineLvl w:val="0"/>
    </w:pPr>
  </w:style>
  <w:style w:type="paragraph" w:customStyle="1" w:styleId="ExecSumSubHead">
    <w:name w:val="~ExecSumSubHead"/>
    <w:basedOn w:val="ExecSumHead"/>
    <w:next w:val="Normal"/>
    <w:semiHidden/>
    <w:qFormat/>
    <w:rsid w:val="00EE64AA"/>
    <w:pPr>
      <w:spacing w:before="240"/>
    </w:pPr>
  </w:style>
  <w:style w:type="paragraph" w:customStyle="1" w:styleId="GraphicLeft">
    <w:name w:val="~GraphicLeft"/>
    <w:basedOn w:val="NoSpacing"/>
    <w:semiHidden/>
    <w:rsid w:val="00EE64AA"/>
  </w:style>
  <w:style w:type="paragraph" w:customStyle="1" w:styleId="GraphicCentre">
    <w:name w:val="~GraphicCentre"/>
    <w:basedOn w:val="GraphicLeft"/>
    <w:semiHidden/>
    <w:qFormat/>
    <w:rsid w:val="00EE64AA"/>
    <w:pPr>
      <w:jc w:val="center"/>
    </w:pPr>
  </w:style>
  <w:style w:type="paragraph" w:customStyle="1" w:styleId="GraphicRight">
    <w:name w:val="~GraphicRight"/>
    <w:basedOn w:val="GraphicLeft"/>
    <w:semiHidden/>
    <w:qFormat/>
    <w:rsid w:val="00EE64AA"/>
    <w:pPr>
      <w:jc w:val="right"/>
    </w:pPr>
  </w:style>
  <w:style w:type="paragraph" w:customStyle="1" w:styleId="Hidden">
    <w:name w:val="~Hidden"/>
    <w:basedOn w:val="NoSpacing"/>
    <w:semiHidden/>
    <w:qFormat/>
    <w:rsid w:val="00EE64AA"/>
    <w:pPr>
      <w:framePr w:wrap="around" w:vAnchor="page" w:hAnchor="page" w:xAlign="right" w:yAlign="bottom"/>
    </w:pPr>
    <w:rPr>
      <w:color w:val="C00000"/>
    </w:rPr>
  </w:style>
  <w:style w:type="paragraph" w:customStyle="1" w:styleId="IntroText">
    <w:name w:val="~IntroText"/>
    <w:basedOn w:val="Normal"/>
    <w:next w:val="Normal"/>
    <w:semiHidden/>
    <w:qFormat/>
    <w:rsid w:val="00EE64AA"/>
    <w:pPr>
      <w:spacing w:before="120"/>
    </w:pPr>
    <w:rPr>
      <w:sz w:val="24"/>
    </w:rPr>
  </w:style>
  <w:style w:type="paragraph" w:customStyle="1" w:styleId="KeyMsgBoxText">
    <w:name w:val="~KeyMsgBoxText"/>
    <w:basedOn w:val="Normal"/>
    <w:semiHidden/>
    <w:qFormat/>
    <w:rsid w:val="00EE64AA"/>
    <w:pPr>
      <w:spacing w:after="60"/>
    </w:pPr>
    <w:rPr>
      <w:sz w:val="24"/>
    </w:rPr>
  </w:style>
  <w:style w:type="paragraph" w:customStyle="1" w:styleId="KeyMsgBoxHead">
    <w:name w:val="~KeyMsgBoxHead"/>
    <w:basedOn w:val="KeyMsgBoxText"/>
    <w:semiHidden/>
    <w:qFormat/>
    <w:rsid w:val="00EE64AA"/>
    <w:pPr>
      <w:keepNext/>
      <w:spacing w:before="60" w:line="240" w:lineRule="auto"/>
    </w:pPr>
    <w:rPr>
      <w:b/>
    </w:rPr>
  </w:style>
  <w:style w:type="paragraph" w:customStyle="1" w:styleId="NumBullet1">
    <w:name w:val="~NumBullet1"/>
    <w:basedOn w:val="Bullet1"/>
    <w:qFormat/>
    <w:rsid w:val="00326FF5"/>
    <w:pPr>
      <w:numPr>
        <w:numId w:val="2"/>
      </w:numPr>
      <w:spacing w:after="300"/>
    </w:pPr>
  </w:style>
  <w:style w:type="paragraph" w:customStyle="1" w:styleId="NumBullet2">
    <w:name w:val="~NumBullet2"/>
    <w:basedOn w:val="NumBullet1"/>
    <w:qFormat/>
    <w:rsid w:val="00EE64AA"/>
    <w:pPr>
      <w:numPr>
        <w:ilvl w:val="1"/>
      </w:numPr>
    </w:pPr>
  </w:style>
  <w:style w:type="paragraph" w:customStyle="1" w:styleId="NumBullet3">
    <w:name w:val="~NumBullet3"/>
    <w:basedOn w:val="NumBullet2"/>
    <w:qFormat/>
    <w:rsid w:val="00EE64AA"/>
    <w:pPr>
      <w:numPr>
        <w:ilvl w:val="2"/>
      </w:numPr>
    </w:pPr>
  </w:style>
  <w:style w:type="paragraph" w:customStyle="1" w:styleId="QuoteBoxText">
    <w:name w:val="~QuoteBoxText"/>
    <w:basedOn w:val="Normal"/>
    <w:semiHidden/>
    <w:qFormat/>
    <w:rsid w:val="00EE64AA"/>
    <w:pPr>
      <w:keepNext/>
      <w:spacing w:before="120"/>
    </w:pPr>
    <w:rPr>
      <w:sz w:val="24"/>
    </w:rPr>
  </w:style>
  <w:style w:type="paragraph" w:customStyle="1" w:styleId="Source">
    <w:name w:val="~Source"/>
    <w:basedOn w:val="Normal"/>
    <w:next w:val="Normal"/>
    <w:semiHidden/>
    <w:qFormat/>
    <w:rsid w:val="00A92C1F"/>
    <w:pPr>
      <w:spacing w:before="60" w:after="60" w:line="240" w:lineRule="auto"/>
      <w:ind w:left="680" w:hanging="680"/>
    </w:pPr>
    <w:rPr>
      <w:rFonts w:eastAsia="Calibri"/>
      <w:i/>
      <w:sz w:val="18"/>
    </w:rPr>
  </w:style>
  <w:style w:type="paragraph" w:customStyle="1" w:styleId="SourceWide">
    <w:name w:val="~SourceWide"/>
    <w:basedOn w:val="Source"/>
    <w:next w:val="Normal"/>
    <w:semiHidden/>
    <w:qFormat/>
    <w:rsid w:val="00EE64AA"/>
    <w:pPr>
      <w:ind w:left="-2552"/>
    </w:pPr>
  </w:style>
  <w:style w:type="paragraph" w:customStyle="1" w:styleId="Spacer">
    <w:name w:val="~Spacer"/>
    <w:basedOn w:val="NoSpacing"/>
    <w:semiHidden/>
    <w:qFormat/>
    <w:rsid w:val="00EE64AA"/>
    <w:rPr>
      <w:rFonts w:ascii="Arial" w:hAnsi="Arial"/>
      <w:sz w:val="2"/>
    </w:rPr>
  </w:style>
  <w:style w:type="paragraph" w:customStyle="1" w:styleId="TableTextLeft">
    <w:name w:val="~TableTextLeft"/>
    <w:basedOn w:val="Normal"/>
    <w:qFormat/>
    <w:rsid w:val="00A03785"/>
    <w:pPr>
      <w:spacing w:before="40" w:after="40" w:line="240" w:lineRule="auto"/>
    </w:pPr>
    <w:rPr>
      <w:color w:val="522380" w:themeColor="accent1"/>
    </w:rPr>
  </w:style>
  <w:style w:type="paragraph" w:customStyle="1" w:styleId="TableBullet1">
    <w:name w:val="~TableBullet1"/>
    <w:basedOn w:val="TableTextLeft"/>
    <w:qFormat/>
    <w:rsid w:val="00C94E0B"/>
    <w:pPr>
      <w:numPr>
        <w:numId w:val="3"/>
      </w:numPr>
    </w:pPr>
    <w:rPr>
      <w:rFonts w:eastAsia="Calibri"/>
    </w:rPr>
  </w:style>
  <w:style w:type="table" w:customStyle="1" w:styleId="TableClear">
    <w:name w:val="~TableClear"/>
    <w:basedOn w:val="TableNormal"/>
    <w:uiPriority w:val="99"/>
    <w:rsid w:val="00EE64AA"/>
    <w:pPr>
      <w:spacing w:after="0" w:line="240" w:lineRule="auto"/>
    </w:pPr>
    <w:tblPr/>
  </w:style>
  <w:style w:type="paragraph" w:customStyle="1" w:styleId="TableHeadingLeft">
    <w:name w:val="~TableHeadingLeft"/>
    <w:basedOn w:val="TableTextLeft"/>
    <w:qFormat/>
    <w:rsid w:val="00EE64AA"/>
    <w:pPr>
      <w:keepNext/>
    </w:pPr>
    <w:rPr>
      <w:b/>
      <w:szCs w:val="26"/>
    </w:rPr>
  </w:style>
  <w:style w:type="paragraph" w:customStyle="1" w:styleId="TableHeadingCentre">
    <w:name w:val="~TableHeadingCentre"/>
    <w:basedOn w:val="TableHeadingLeft"/>
    <w:qFormat/>
    <w:rsid w:val="00EE64AA"/>
    <w:pPr>
      <w:jc w:val="center"/>
    </w:pPr>
  </w:style>
  <w:style w:type="paragraph" w:customStyle="1" w:styleId="TableHeadingRight">
    <w:name w:val="~TableHeadingRight"/>
    <w:basedOn w:val="TableHeadingLeft"/>
    <w:qFormat/>
    <w:rsid w:val="00EE64AA"/>
    <w:pPr>
      <w:jc w:val="right"/>
    </w:pPr>
  </w:style>
  <w:style w:type="table" w:customStyle="1" w:styleId="TableNormal0">
    <w:name w:val="~TableNormal"/>
    <w:basedOn w:val="TableNormal"/>
    <w:semiHidden/>
    <w:rsid w:val="00EE64AA"/>
    <w:pPr>
      <w:spacing w:after="0" w:line="240" w:lineRule="auto"/>
    </w:pPr>
    <w:tblPr/>
  </w:style>
  <w:style w:type="paragraph" w:customStyle="1" w:styleId="TableTextCentre">
    <w:name w:val="~TableTextCentre"/>
    <w:basedOn w:val="TableTextLeft"/>
    <w:qFormat/>
    <w:rsid w:val="00EE64AA"/>
    <w:pPr>
      <w:jc w:val="center"/>
    </w:pPr>
  </w:style>
  <w:style w:type="paragraph" w:customStyle="1" w:styleId="TableTextRight">
    <w:name w:val="~TableTextRight"/>
    <w:basedOn w:val="TableTextLeft"/>
    <w:qFormat/>
    <w:rsid w:val="00EE64AA"/>
    <w:pPr>
      <w:jc w:val="right"/>
    </w:pPr>
  </w:style>
  <w:style w:type="paragraph" w:customStyle="1" w:styleId="TableTotalLeft">
    <w:name w:val="~TableTotalLeft"/>
    <w:basedOn w:val="TableTextLeft"/>
    <w:semiHidden/>
    <w:qFormat/>
    <w:rsid w:val="00EE64AA"/>
    <w:rPr>
      <w:b/>
    </w:rPr>
  </w:style>
  <w:style w:type="paragraph" w:customStyle="1" w:styleId="TableTotalCentre">
    <w:name w:val="~TableTotalCentre"/>
    <w:basedOn w:val="TableTotalLeft"/>
    <w:semiHidden/>
    <w:qFormat/>
    <w:rsid w:val="00EE64AA"/>
    <w:pPr>
      <w:framePr w:wrap="around" w:vAnchor="page" w:hAnchor="margin" w:y="1135"/>
      <w:suppressOverlap/>
      <w:jc w:val="center"/>
    </w:pPr>
  </w:style>
  <w:style w:type="paragraph" w:customStyle="1" w:styleId="TableTotalRight">
    <w:name w:val="~TableTotalRight"/>
    <w:basedOn w:val="TableTotalLeft"/>
    <w:semiHidden/>
    <w:qFormat/>
    <w:rsid w:val="00EE64AA"/>
    <w:pPr>
      <w:framePr w:wrap="around" w:vAnchor="page" w:hAnchor="margin" w:y="1135"/>
      <w:suppressOverlap/>
      <w:jc w:val="right"/>
    </w:pPr>
  </w:style>
  <w:style w:type="paragraph" w:styleId="BalloonText">
    <w:name w:val="Balloon Text"/>
    <w:basedOn w:val="Normal"/>
    <w:link w:val="BalloonTextChar"/>
    <w:uiPriority w:val="99"/>
    <w:semiHidden/>
    <w:rsid w:val="00EE64AA"/>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361E83"/>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EE64AA"/>
    <w:rPr>
      <w:sz w:val="16"/>
      <w:szCs w:val="16"/>
    </w:rPr>
  </w:style>
  <w:style w:type="paragraph" w:styleId="CommentText">
    <w:name w:val="annotation text"/>
    <w:basedOn w:val="Normal"/>
    <w:link w:val="CommentTextChar"/>
    <w:uiPriority w:val="99"/>
    <w:semiHidden/>
    <w:rsid w:val="00EE64AA"/>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361E83"/>
    <w:rPr>
      <w:rFonts w:ascii="Arial" w:hAnsi="Arial"/>
      <w:color w:val="auto"/>
    </w:rPr>
  </w:style>
  <w:style w:type="paragraph" w:styleId="CommentSubject">
    <w:name w:val="annotation subject"/>
    <w:basedOn w:val="CommentText"/>
    <w:next w:val="CommentText"/>
    <w:link w:val="CommentSubjectChar"/>
    <w:uiPriority w:val="99"/>
    <w:semiHidden/>
    <w:rsid w:val="00EE64AA"/>
    <w:rPr>
      <w:b/>
      <w:bCs/>
    </w:rPr>
  </w:style>
  <w:style w:type="character" w:customStyle="1" w:styleId="CommentSubjectChar">
    <w:name w:val="Comment Subject Char"/>
    <w:basedOn w:val="CommentTextChar"/>
    <w:link w:val="CommentSubject"/>
    <w:uiPriority w:val="99"/>
    <w:semiHidden/>
    <w:rsid w:val="00361E83"/>
    <w:rPr>
      <w:rFonts w:ascii="Arial" w:hAnsi="Arial"/>
      <w:b/>
      <w:bCs/>
      <w:color w:val="auto"/>
    </w:rPr>
  </w:style>
  <w:style w:type="character" w:styleId="FollowedHyperlink">
    <w:name w:val="FollowedHyperlink"/>
    <w:aliases w:val="~FollowedHyperlink"/>
    <w:basedOn w:val="DefaultParagraphFont"/>
    <w:uiPriority w:val="99"/>
    <w:semiHidden/>
    <w:rsid w:val="00EE64AA"/>
    <w:rPr>
      <w:color w:val="F584C6" w:themeColor="followedHyperlink"/>
      <w:u w:val="single"/>
    </w:rPr>
  </w:style>
  <w:style w:type="paragraph" w:styleId="Footer">
    <w:name w:val="footer"/>
    <w:aliases w:val="~Footer"/>
    <w:basedOn w:val="NoSpacing"/>
    <w:link w:val="FooterChar"/>
    <w:uiPriority w:val="99"/>
    <w:semiHidden/>
    <w:rsid w:val="00EE64AA"/>
  </w:style>
  <w:style w:type="character" w:customStyle="1" w:styleId="FooterChar">
    <w:name w:val="Footer Char"/>
    <w:aliases w:val="~Footer Char"/>
    <w:basedOn w:val="DefaultParagraphFont"/>
    <w:link w:val="Footer"/>
    <w:uiPriority w:val="99"/>
    <w:semiHidden/>
    <w:rsid w:val="00361E83"/>
  </w:style>
  <w:style w:type="character" w:styleId="FootnoteReference">
    <w:name w:val="footnote reference"/>
    <w:basedOn w:val="DefaultParagraphFont"/>
    <w:uiPriority w:val="99"/>
    <w:rsid w:val="006940D4"/>
    <w:rPr>
      <w:rFonts w:asciiTheme="minorHAnsi" w:hAnsiTheme="minorHAnsi"/>
      <w:color w:val="EC098D" w:themeColor="accent3"/>
      <w:vertAlign w:val="superscript"/>
    </w:rPr>
  </w:style>
  <w:style w:type="paragraph" w:styleId="FootnoteText">
    <w:name w:val="footnote text"/>
    <w:aliases w:val="~FootnoteText"/>
    <w:basedOn w:val="NoSpacing"/>
    <w:link w:val="FootnoteTextChar"/>
    <w:uiPriority w:val="99"/>
    <w:rsid w:val="006940D4"/>
    <w:pPr>
      <w:spacing w:before="60"/>
      <w:ind w:left="284" w:hanging="284"/>
    </w:pPr>
    <w:rPr>
      <w:sz w:val="18"/>
    </w:rPr>
  </w:style>
  <w:style w:type="paragraph" w:styleId="Header">
    <w:name w:val="header"/>
    <w:aliases w:val="~Header"/>
    <w:basedOn w:val="NoSpacing"/>
    <w:link w:val="HeaderChar"/>
    <w:rsid w:val="00EE64AA"/>
  </w:style>
  <w:style w:type="character" w:customStyle="1" w:styleId="HeaderChar">
    <w:name w:val="Header Char"/>
    <w:aliases w:val="~Header Char"/>
    <w:basedOn w:val="DefaultParagraphFont"/>
    <w:link w:val="Header"/>
    <w:rsid w:val="00361E83"/>
  </w:style>
  <w:style w:type="character" w:customStyle="1" w:styleId="Heading1Char">
    <w:name w:val="Heading 1 Char"/>
    <w:aliases w:val="~SectionHeading Char"/>
    <w:basedOn w:val="DefaultParagraphFont"/>
    <w:link w:val="Heading1"/>
    <w:uiPriority w:val="9"/>
    <w:rsid w:val="00356FD1"/>
    <w:rPr>
      <w:rFonts w:asciiTheme="majorHAnsi" w:hAnsiTheme="majorHAnsi"/>
      <w:b/>
      <w:color w:val="EC098D" w:themeColor="accent3"/>
      <w:sz w:val="28"/>
      <w:szCs w:val="28"/>
    </w:rPr>
  </w:style>
  <w:style w:type="character" w:customStyle="1" w:styleId="Heading2Char">
    <w:name w:val="Heading 2 Char"/>
    <w:aliases w:val="~SubHeading Char"/>
    <w:basedOn w:val="DefaultParagraphFont"/>
    <w:link w:val="Heading2"/>
    <w:uiPriority w:val="9"/>
    <w:rsid w:val="00C17B5E"/>
    <w:rPr>
      <w:b/>
      <w:sz w:val="22"/>
      <w:szCs w:val="22"/>
    </w:rPr>
  </w:style>
  <w:style w:type="character" w:customStyle="1" w:styleId="Heading3Char">
    <w:name w:val="Heading 3 Char"/>
    <w:aliases w:val="~MinorSubHeading Char"/>
    <w:basedOn w:val="DefaultParagraphFont"/>
    <w:link w:val="Heading3"/>
    <w:uiPriority w:val="9"/>
    <w:semiHidden/>
    <w:rsid w:val="00B729E0"/>
    <w:rPr>
      <w:sz w:val="22"/>
      <w:szCs w:val="22"/>
    </w:rPr>
  </w:style>
  <w:style w:type="character" w:customStyle="1" w:styleId="Heading4Char">
    <w:name w:val="Heading 4 Char"/>
    <w:aliases w:val="~Level4Heading Char"/>
    <w:basedOn w:val="DefaultParagraphFont"/>
    <w:link w:val="Heading4"/>
    <w:uiPriority w:val="9"/>
    <w:semiHidden/>
    <w:rsid w:val="00361E83"/>
    <w:rPr>
      <w:sz w:val="22"/>
      <w:szCs w:val="22"/>
    </w:rPr>
  </w:style>
  <w:style w:type="character" w:customStyle="1" w:styleId="Heading5Char">
    <w:name w:val="Heading 5 Char"/>
    <w:basedOn w:val="DefaultParagraphFont"/>
    <w:link w:val="Heading5"/>
    <w:uiPriority w:val="9"/>
    <w:semiHidden/>
    <w:rsid w:val="00361E8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361E83"/>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361E8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61E83"/>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361E83"/>
    <w:rPr>
      <w:rFonts w:asciiTheme="majorHAnsi" w:eastAsiaTheme="majorEastAsia" w:hAnsiTheme="majorHAnsi" w:cstheme="majorBidi"/>
      <w:i/>
      <w:iCs/>
    </w:rPr>
  </w:style>
  <w:style w:type="character" w:styleId="Hyperlink">
    <w:name w:val="Hyperlink"/>
    <w:aliases w:val="~HyperLink"/>
    <w:basedOn w:val="DefaultParagraphFont"/>
    <w:uiPriority w:val="99"/>
    <w:semiHidden/>
    <w:rsid w:val="00EE64AA"/>
    <w:rPr>
      <w:color w:val="FF0000"/>
      <w:u w:val="single"/>
    </w:rPr>
  </w:style>
  <w:style w:type="table" w:styleId="MediumShading2-Accent1">
    <w:name w:val="Medium Shading 2 Accent 1"/>
    <w:basedOn w:val="TableNormal"/>
    <w:uiPriority w:val="64"/>
    <w:rsid w:val="00EE64AA"/>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223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22380" w:themeFill="accent1"/>
      </w:tcPr>
    </w:tblStylePr>
    <w:tblStylePr w:type="lastCol">
      <w:rPr>
        <w:b/>
        <w:bCs/>
        <w:color w:val="FFFFFF" w:themeColor="background1"/>
      </w:rPr>
      <w:tblPr/>
      <w:tcPr>
        <w:tcBorders>
          <w:left w:val="nil"/>
          <w:right w:val="nil"/>
          <w:insideH w:val="nil"/>
          <w:insideV w:val="nil"/>
        </w:tcBorders>
        <w:shd w:val="clear" w:color="auto" w:fill="52238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EE64AA"/>
    <w:rPr>
      <w:color w:val="808080"/>
    </w:rPr>
  </w:style>
  <w:style w:type="table" w:styleId="TableGrid">
    <w:name w:val="Table Grid"/>
    <w:basedOn w:val="TableNormal"/>
    <w:uiPriority w:val="59"/>
    <w:rsid w:val="00162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semiHidden/>
    <w:qFormat/>
    <w:rsid w:val="00EE64AA"/>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qFormat/>
    <w:rsid w:val="00EE64AA"/>
    <w:pPr>
      <w:ind w:left="425"/>
    </w:pPr>
  </w:style>
  <w:style w:type="paragraph" w:styleId="TOC3">
    <w:name w:val="toc 3"/>
    <w:aliases w:val="~MinorSubheadings"/>
    <w:basedOn w:val="TOC2"/>
    <w:next w:val="Normal"/>
    <w:uiPriority w:val="39"/>
    <w:semiHidden/>
    <w:qFormat/>
    <w:rsid w:val="00EE64AA"/>
    <w:pPr>
      <w:ind w:left="850"/>
    </w:pPr>
  </w:style>
  <w:style w:type="paragraph" w:styleId="TOC4">
    <w:name w:val="toc 4"/>
    <w:aliases w:val="~FourthHeadLevel"/>
    <w:basedOn w:val="TOC3"/>
    <w:next w:val="Normal"/>
    <w:uiPriority w:val="39"/>
    <w:semiHidden/>
    <w:rsid w:val="00EE64AA"/>
    <w:pPr>
      <w:tabs>
        <w:tab w:val="left" w:pos="2098"/>
      </w:tabs>
      <w:ind w:left="2098" w:hanging="794"/>
    </w:pPr>
  </w:style>
  <w:style w:type="paragraph" w:styleId="TOC5">
    <w:name w:val="toc 5"/>
    <w:aliases w:val="~ExecSumHeading"/>
    <w:basedOn w:val="TOC1"/>
    <w:next w:val="Normal"/>
    <w:uiPriority w:val="39"/>
    <w:semiHidden/>
    <w:rsid w:val="00EE64AA"/>
  </w:style>
  <w:style w:type="paragraph" w:styleId="TOC6">
    <w:name w:val="toc 6"/>
    <w:aliases w:val="~AppDivider"/>
    <w:basedOn w:val="TOC1"/>
    <w:next w:val="Normal"/>
    <w:uiPriority w:val="39"/>
    <w:semiHidden/>
    <w:rsid w:val="00EE64AA"/>
    <w:pPr>
      <w:spacing w:before="240"/>
    </w:pPr>
  </w:style>
  <w:style w:type="paragraph" w:styleId="TOC7">
    <w:name w:val="toc 7"/>
    <w:aliases w:val="~AppHeadings"/>
    <w:basedOn w:val="TOC1"/>
    <w:next w:val="Normal"/>
    <w:uiPriority w:val="39"/>
    <w:semiHidden/>
    <w:rsid w:val="00EE64AA"/>
  </w:style>
  <w:style w:type="paragraph" w:styleId="TOC8">
    <w:name w:val="toc 8"/>
    <w:aliases w:val="~AppSubHeadings"/>
    <w:basedOn w:val="TOC2"/>
    <w:next w:val="Normal"/>
    <w:uiPriority w:val="39"/>
    <w:semiHidden/>
    <w:rsid w:val="00EE64AA"/>
  </w:style>
  <w:style w:type="paragraph" w:styleId="TOC9">
    <w:name w:val="toc 9"/>
    <w:basedOn w:val="Normal"/>
    <w:next w:val="Normal"/>
    <w:uiPriority w:val="39"/>
    <w:semiHidden/>
    <w:rsid w:val="00EE64AA"/>
    <w:pPr>
      <w:spacing w:before="120" w:after="100"/>
      <w:ind w:left="1600"/>
    </w:pPr>
    <w:rPr>
      <w:rFonts w:ascii="Arial" w:hAnsi="Arial"/>
    </w:rPr>
  </w:style>
  <w:style w:type="paragraph" w:styleId="TOCHeading">
    <w:name w:val="TOC Heading"/>
    <w:basedOn w:val="Heading1"/>
    <w:next w:val="Normal"/>
    <w:uiPriority w:val="39"/>
    <w:semiHidden/>
    <w:qFormat/>
    <w:rsid w:val="00EE64AA"/>
    <w:pPr>
      <w:keepLines/>
      <w:spacing w:before="480" w:after="0"/>
      <w:jc w:val="both"/>
      <w:outlineLvl w:val="9"/>
    </w:pPr>
    <w:rPr>
      <w:rFonts w:eastAsiaTheme="majorEastAsia" w:cstheme="majorBidi"/>
      <w:bCs/>
    </w:rPr>
  </w:style>
  <w:style w:type="table" w:customStyle="1" w:styleId="LondonCouncils">
    <w:name w:val="~LondonCouncils"/>
    <w:basedOn w:val="TableNormal"/>
    <w:uiPriority w:val="99"/>
    <w:rsid w:val="008A7EAA"/>
    <w:pPr>
      <w:spacing w:after="0" w:line="240" w:lineRule="auto"/>
    </w:pPr>
    <w:rPr>
      <w:color w:val="522380" w:themeColor="accent1"/>
    </w:rPr>
    <w:tblPr>
      <w:tblInd w:w="108" w:type="dxa"/>
      <w:tblCellMar>
        <w:top w:w="28" w:type="dxa"/>
        <w:left w:w="85" w:type="dxa"/>
        <w:bottom w:w="28" w:type="dxa"/>
        <w:right w:w="85" w:type="dxa"/>
      </w:tblCellMar>
    </w:tblPr>
    <w:tcPr>
      <w:shd w:val="clear" w:color="auto" w:fill="E1DCEB" w:themeFill="accent2"/>
    </w:tcPr>
    <w:tblStylePr w:type="firstRow">
      <w:rPr>
        <w:b/>
      </w:rPr>
    </w:tblStylePr>
    <w:tblStylePr w:type="firstCol">
      <w:rPr>
        <w:b/>
      </w:rPr>
    </w:tblStylePr>
  </w:style>
  <w:style w:type="paragraph" w:styleId="Revision">
    <w:name w:val="Revision"/>
    <w:hidden/>
    <w:uiPriority w:val="99"/>
    <w:semiHidden/>
    <w:rsid w:val="00EE64AA"/>
    <w:pPr>
      <w:spacing w:after="0" w:line="240" w:lineRule="auto"/>
    </w:pPr>
    <w:rPr>
      <w:color w:val="808080" w:themeColor="background1" w:themeShade="80"/>
    </w:rPr>
  </w:style>
  <w:style w:type="paragraph" w:customStyle="1" w:styleId="HighlightText">
    <w:name w:val="~HighlightText"/>
    <w:basedOn w:val="TableTextLeft"/>
    <w:qFormat/>
    <w:rsid w:val="00A03785"/>
  </w:style>
  <w:style w:type="paragraph" w:styleId="ListParagraph">
    <w:name w:val="List Paragraph"/>
    <w:aliases w:val="1st level - Bullet List Paragraph,Lettre d'introduction,Paragrafo elenco,List Paragraph1,Medium Grid 1 - Accent 21,FooterText,Paragraphe de liste1,Heading 2_sj,Numbered Para 1,Dot pt,No Spacing1,List Paragraph Char Char Char,Bullet 1"/>
    <w:basedOn w:val="Normal"/>
    <w:link w:val="ListParagraphChar"/>
    <w:uiPriority w:val="34"/>
    <w:qFormat/>
    <w:rsid w:val="008713FD"/>
    <w:pPr>
      <w:spacing w:line="240" w:lineRule="auto"/>
      <w:ind w:left="720"/>
    </w:pPr>
    <w:rPr>
      <w:rFonts w:ascii="Arial" w:eastAsia="Times New Roman" w:hAnsi="Arial" w:cs="Times New Roman"/>
      <w:color w:val="auto"/>
      <w:sz w:val="22"/>
      <w:szCs w:val="22"/>
    </w:rPr>
  </w:style>
  <w:style w:type="paragraph" w:customStyle="1" w:styleId="Default">
    <w:name w:val="Default"/>
    <w:rsid w:val="008713FD"/>
    <w:pPr>
      <w:autoSpaceDE w:val="0"/>
      <w:autoSpaceDN w:val="0"/>
      <w:adjustRightInd w:val="0"/>
      <w:spacing w:after="0" w:line="240" w:lineRule="auto"/>
    </w:pPr>
    <w:rPr>
      <w:rFonts w:ascii="Arial" w:eastAsia="Times New Roman" w:hAnsi="Arial"/>
      <w:color w:val="000000"/>
      <w:sz w:val="24"/>
      <w:szCs w:val="24"/>
      <w:lang w:eastAsia="en-GB"/>
    </w:rPr>
  </w:style>
  <w:style w:type="character" w:styleId="Strong">
    <w:name w:val="Strong"/>
    <w:basedOn w:val="DefaultParagraphFont"/>
    <w:uiPriority w:val="22"/>
    <w:qFormat/>
    <w:rsid w:val="00CA79C6"/>
    <w:rPr>
      <w:b/>
      <w:bCs/>
    </w:rPr>
  </w:style>
  <w:style w:type="character" w:customStyle="1" w:styleId="apple-converted-space">
    <w:name w:val="apple-converted-space"/>
    <w:basedOn w:val="DefaultParagraphFont"/>
    <w:rsid w:val="00CA79C6"/>
  </w:style>
  <w:style w:type="paragraph" w:styleId="NormalWeb">
    <w:name w:val="Normal (Web)"/>
    <w:basedOn w:val="Normal"/>
    <w:uiPriority w:val="99"/>
    <w:unhideWhenUsed/>
    <w:rsid w:val="009F4E86"/>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A7">
    <w:name w:val="A7"/>
    <w:uiPriority w:val="99"/>
    <w:rsid w:val="00AB3A50"/>
    <w:rPr>
      <w:b/>
      <w:bCs/>
      <w:color w:val="000000"/>
    </w:rPr>
  </w:style>
  <w:style w:type="paragraph" w:customStyle="1" w:styleId="Pa1">
    <w:name w:val="Pa1"/>
    <w:basedOn w:val="Default"/>
    <w:next w:val="Default"/>
    <w:uiPriority w:val="99"/>
    <w:rsid w:val="00D85A35"/>
    <w:pPr>
      <w:spacing w:line="221" w:lineRule="atLeast"/>
    </w:pPr>
    <w:rPr>
      <w:rFonts w:eastAsiaTheme="minorHAnsi"/>
      <w:color w:val="000000" w:themeColor="text1"/>
      <w:lang w:eastAsia="en-US"/>
    </w:rPr>
  </w:style>
  <w:style w:type="character" w:customStyle="1" w:styleId="A6">
    <w:name w:val="A6"/>
    <w:uiPriority w:val="99"/>
    <w:rsid w:val="00D85A35"/>
    <w:rPr>
      <w:color w:val="000000"/>
      <w:sz w:val="12"/>
      <w:szCs w:val="12"/>
    </w:rPr>
  </w:style>
  <w:style w:type="character" w:customStyle="1" w:styleId="A4">
    <w:name w:val="A4"/>
    <w:uiPriority w:val="99"/>
    <w:rsid w:val="00D85A35"/>
    <w:rPr>
      <w:color w:val="000000"/>
      <w:sz w:val="12"/>
      <w:szCs w:val="12"/>
    </w:rPr>
  </w:style>
  <w:style w:type="character" w:customStyle="1" w:styleId="ListParagraphChar">
    <w:name w:val="List Paragraph Char"/>
    <w:aliases w:val="1st level - Bullet List Paragraph Char,Lettre d'introduction Char,Paragrafo elenco Char,List Paragraph1 Char,Medium Grid 1 - Accent 21 Char,FooterText Char,Paragraphe de liste1 Char,Heading 2_sj Char,Numbered Para 1 Char,Dot pt Char"/>
    <w:basedOn w:val="DefaultParagraphFont"/>
    <w:link w:val="ListParagraph"/>
    <w:uiPriority w:val="34"/>
    <w:qFormat/>
    <w:locked/>
    <w:rsid w:val="00CB3824"/>
    <w:rPr>
      <w:rFonts w:ascii="Arial" w:eastAsia="Times New Roman" w:hAnsi="Arial" w:cs="Times New Roman"/>
      <w:color w:val="auto"/>
      <w:sz w:val="22"/>
      <w:szCs w:val="22"/>
    </w:rPr>
  </w:style>
  <w:style w:type="character" w:styleId="UnresolvedMention">
    <w:name w:val="Unresolved Mention"/>
    <w:basedOn w:val="DefaultParagraphFont"/>
    <w:uiPriority w:val="99"/>
    <w:semiHidden/>
    <w:unhideWhenUsed/>
    <w:rsid w:val="00F367A8"/>
    <w:rPr>
      <w:color w:val="605E5C"/>
      <w:shd w:val="clear" w:color="auto" w:fill="E1DFDD"/>
    </w:rPr>
  </w:style>
  <w:style w:type="character" w:customStyle="1" w:styleId="FootnoteTextChar">
    <w:name w:val="Footnote Text Char"/>
    <w:aliases w:val="~FootnoteText Char"/>
    <w:basedOn w:val="DefaultParagraphFont"/>
    <w:link w:val="FootnoteText"/>
    <w:uiPriority w:val="99"/>
    <w:rsid w:val="007067D1"/>
    <w:rPr>
      <w:sz w:val="18"/>
    </w:rPr>
  </w:style>
  <w:style w:type="paragraph" w:styleId="EndnoteText">
    <w:name w:val="endnote text"/>
    <w:basedOn w:val="Normal"/>
    <w:link w:val="EndnoteTextChar"/>
    <w:uiPriority w:val="99"/>
    <w:unhideWhenUsed/>
    <w:rsid w:val="007067D1"/>
    <w:pPr>
      <w:spacing w:line="240" w:lineRule="auto"/>
    </w:pPr>
    <w:rPr>
      <w:rFonts w:cstheme="minorBidi"/>
      <w:color w:val="auto"/>
    </w:rPr>
  </w:style>
  <w:style w:type="character" w:customStyle="1" w:styleId="EndnoteTextChar">
    <w:name w:val="Endnote Text Char"/>
    <w:basedOn w:val="DefaultParagraphFont"/>
    <w:link w:val="EndnoteText"/>
    <w:uiPriority w:val="99"/>
    <w:rsid w:val="007067D1"/>
    <w:rPr>
      <w:rFonts w:cstheme="minorBidi"/>
      <w:color w:val="auto"/>
    </w:rPr>
  </w:style>
  <w:style w:type="character" w:styleId="EndnoteReference">
    <w:name w:val="endnote reference"/>
    <w:basedOn w:val="DefaultParagraphFont"/>
    <w:uiPriority w:val="99"/>
    <w:semiHidden/>
    <w:unhideWhenUsed/>
    <w:rsid w:val="007067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5268">
      <w:bodyDiv w:val="1"/>
      <w:marLeft w:val="0"/>
      <w:marRight w:val="0"/>
      <w:marTop w:val="0"/>
      <w:marBottom w:val="0"/>
      <w:divBdr>
        <w:top w:val="none" w:sz="0" w:space="0" w:color="auto"/>
        <w:left w:val="none" w:sz="0" w:space="0" w:color="auto"/>
        <w:bottom w:val="none" w:sz="0" w:space="0" w:color="auto"/>
        <w:right w:val="none" w:sz="0" w:space="0" w:color="auto"/>
      </w:divBdr>
    </w:div>
    <w:div w:id="53090170">
      <w:bodyDiv w:val="1"/>
      <w:marLeft w:val="0"/>
      <w:marRight w:val="0"/>
      <w:marTop w:val="0"/>
      <w:marBottom w:val="0"/>
      <w:divBdr>
        <w:top w:val="none" w:sz="0" w:space="0" w:color="auto"/>
        <w:left w:val="none" w:sz="0" w:space="0" w:color="auto"/>
        <w:bottom w:val="none" w:sz="0" w:space="0" w:color="auto"/>
        <w:right w:val="none" w:sz="0" w:space="0" w:color="auto"/>
      </w:divBdr>
    </w:div>
    <w:div w:id="54669219">
      <w:bodyDiv w:val="1"/>
      <w:marLeft w:val="0"/>
      <w:marRight w:val="0"/>
      <w:marTop w:val="0"/>
      <w:marBottom w:val="0"/>
      <w:divBdr>
        <w:top w:val="none" w:sz="0" w:space="0" w:color="auto"/>
        <w:left w:val="none" w:sz="0" w:space="0" w:color="auto"/>
        <w:bottom w:val="none" w:sz="0" w:space="0" w:color="auto"/>
        <w:right w:val="none" w:sz="0" w:space="0" w:color="auto"/>
      </w:divBdr>
    </w:div>
    <w:div w:id="92241708">
      <w:bodyDiv w:val="1"/>
      <w:marLeft w:val="0"/>
      <w:marRight w:val="0"/>
      <w:marTop w:val="0"/>
      <w:marBottom w:val="0"/>
      <w:divBdr>
        <w:top w:val="none" w:sz="0" w:space="0" w:color="auto"/>
        <w:left w:val="none" w:sz="0" w:space="0" w:color="auto"/>
        <w:bottom w:val="none" w:sz="0" w:space="0" w:color="auto"/>
        <w:right w:val="none" w:sz="0" w:space="0" w:color="auto"/>
      </w:divBdr>
    </w:div>
    <w:div w:id="138889115">
      <w:bodyDiv w:val="1"/>
      <w:marLeft w:val="0"/>
      <w:marRight w:val="0"/>
      <w:marTop w:val="0"/>
      <w:marBottom w:val="0"/>
      <w:divBdr>
        <w:top w:val="none" w:sz="0" w:space="0" w:color="auto"/>
        <w:left w:val="none" w:sz="0" w:space="0" w:color="auto"/>
        <w:bottom w:val="none" w:sz="0" w:space="0" w:color="auto"/>
        <w:right w:val="none" w:sz="0" w:space="0" w:color="auto"/>
      </w:divBdr>
    </w:div>
    <w:div w:id="176383938">
      <w:bodyDiv w:val="1"/>
      <w:marLeft w:val="0"/>
      <w:marRight w:val="0"/>
      <w:marTop w:val="0"/>
      <w:marBottom w:val="0"/>
      <w:divBdr>
        <w:top w:val="none" w:sz="0" w:space="0" w:color="auto"/>
        <w:left w:val="none" w:sz="0" w:space="0" w:color="auto"/>
        <w:bottom w:val="none" w:sz="0" w:space="0" w:color="auto"/>
        <w:right w:val="none" w:sz="0" w:space="0" w:color="auto"/>
      </w:divBdr>
    </w:div>
    <w:div w:id="243610612">
      <w:bodyDiv w:val="1"/>
      <w:marLeft w:val="0"/>
      <w:marRight w:val="0"/>
      <w:marTop w:val="0"/>
      <w:marBottom w:val="0"/>
      <w:divBdr>
        <w:top w:val="none" w:sz="0" w:space="0" w:color="auto"/>
        <w:left w:val="none" w:sz="0" w:space="0" w:color="auto"/>
        <w:bottom w:val="none" w:sz="0" w:space="0" w:color="auto"/>
        <w:right w:val="none" w:sz="0" w:space="0" w:color="auto"/>
      </w:divBdr>
    </w:div>
    <w:div w:id="273024633">
      <w:bodyDiv w:val="1"/>
      <w:marLeft w:val="0"/>
      <w:marRight w:val="0"/>
      <w:marTop w:val="0"/>
      <w:marBottom w:val="0"/>
      <w:divBdr>
        <w:top w:val="none" w:sz="0" w:space="0" w:color="auto"/>
        <w:left w:val="none" w:sz="0" w:space="0" w:color="auto"/>
        <w:bottom w:val="none" w:sz="0" w:space="0" w:color="auto"/>
        <w:right w:val="none" w:sz="0" w:space="0" w:color="auto"/>
      </w:divBdr>
      <w:divsChild>
        <w:div w:id="308287246">
          <w:marLeft w:val="0"/>
          <w:marRight w:val="0"/>
          <w:marTop w:val="0"/>
          <w:marBottom w:val="0"/>
          <w:divBdr>
            <w:top w:val="none" w:sz="0" w:space="0" w:color="auto"/>
            <w:left w:val="none" w:sz="0" w:space="0" w:color="auto"/>
            <w:bottom w:val="none" w:sz="0" w:space="0" w:color="auto"/>
            <w:right w:val="none" w:sz="0" w:space="0" w:color="auto"/>
          </w:divBdr>
          <w:divsChild>
            <w:div w:id="722369008">
              <w:marLeft w:val="0"/>
              <w:marRight w:val="0"/>
              <w:marTop w:val="480"/>
              <w:marBottom w:val="480"/>
              <w:divBdr>
                <w:top w:val="none" w:sz="0" w:space="0" w:color="auto"/>
                <w:left w:val="single" w:sz="48" w:space="12" w:color="DEE0E2"/>
                <w:bottom w:val="none" w:sz="0" w:space="0" w:color="auto"/>
                <w:right w:val="none" w:sz="0" w:space="0" w:color="auto"/>
              </w:divBdr>
            </w:div>
            <w:div w:id="1610120579">
              <w:marLeft w:val="0"/>
              <w:marRight w:val="0"/>
              <w:marTop w:val="480"/>
              <w:marBottom w:val="480"/>
              <w:divBdr>
                <w:top w:val="none" w:sz="0" w:space="0" w:color="auto"/>
                <w:left w:val="single" w:sz="48" w:space="12" w:color="DEE0E2"/>
                <w:bottom w:val="none" w:sz="0" w:space="0" w:color="auto"/>
                <w:right w:val="none" w:sz="0" w:space="0" w:color="auto"/>
              </w:divBdr>
            </w:div>
          </w:divsChild>
        </w:div>
      </w:divsChild>
    </w:div>
    <w:div w:id="296110056">
      <w:bodyDiv w:val="1"/>
      <w:marLeft w:val="0"/>
      <w:marRight w:val="0"/>
      <w:marTop w:val="0"/>
      <w:marBottom w:val="0"/>
      <w:divBdr>
        <w:top w:val="none" w:sz="0" w:space="0" w:color="auto"/>
        <w:left w:val="none" w:sz="0" w:space="0" w:color="auto"/>
        <w:bottom w:val="none" w:sz="0" w:space="0" w:color="auto"/>
        <w:right w:val="none" w:sz="0" w:space="0" w:color="auto"/>
      </w:divBdr>
    </w:div>
    <w:div w:id="338238277">
      <w:bodyDiv w:val="1"/>
      <w:marLeft w:val="0"/>
      <w:marRight w:val="0"/>
      <w:marTop w:val="0"/>
      <w:marBottom w:val="0"/>
      <w:divBdr>
        <w:top w:val="none" w:sz="0" w:space="0" w:color="auto"/>
        <w:left w:val="none" w:sz="0" w:space="0" w:color="auto"/>
        <w:bottom w:val="none" w:sz="0" w:space="0" w:color="auto"/>
        <w:right w:val="none" w:sz="0" w:space="0" w:color="auto"/>
      </w:divBdr>
    </w:div>
    <w:div w:id="385641804">
      <w:bodyDiv w:val="1"/>
      <w:marLeft w:val="0"/>
      <w:marRight w:val="0"/>
      <w:marTop w:val="0"/>
      <w:marBottom w:val="0"/>
      <w:divBdr>
        <w:top w:val="none" w:sz="0" w:space="0" w:color="auto"/>
        <w:left w:val="none" w:sz="0" w:space="0" w:color="auto"/>
        <w:bottom w:val="none" w:sz="0" w:space="0" w:color="auto"/>
        <w:right w:val="none" w:sz="0" w:space="0" w:color="auto"/>
      </w:divBdr>
    </w:div>
    <w:div w:id="443380725">
      <w:bodyDiv w:val="1"/>
      <w:marLeft w:val="0"/>
      <w:marRight w:val="0"/>
      <w:marTop w:val="0"/>
      <w:marBottom w:val="0"/>
      <w:divBdr>
        <w:top w:val="none" w:sz="0" w:space="0" w:color="auto"/>
        <w:left w:val="none" w:sz="0" w:space="0" w:color="auto"/>
        <w:bottom w:val="none" w:sz="0" w:space="0" w:color="auto"/>
        <w:right w:val="none" w:sz="0" w:space="0" w:color="auto"/>
      </w:divBdr>
    </w:div>
    <w:div w:id="456412720">
      <w:bodyDiv w:val="1"/>
      <w:marLeft w:val="0"/>
      <w:marRight w:val="0"/>
      <w:marTop w:val="0"/>
      <w:marBottom w:val="0"/>
      <w:divBdr>
        <w:top w:val="none" w:sz="0" w:space="0" w:color="auto"/>
        <w:left w:val="none" w:sz="0" w:space="0" w:color="auto"/>
        <w:bottom w:val="none" w:sz="0" w:space="0" w:color="auto"/>
        <w:right w:val="none" w:sz="0" w:space="0" w:color="auto"/>
      </w:divBdr>
    </w:div>
    <w:div w:id="485322760">
      <w:bodyDiv w:val="1"/>
      <w:marLeft w:val="0"/>
      <w:marRight w:val="0"/>
      <w:marTop w:val="0"/>
      <w:marBottom w:val="0"/>
      <w:divBdr>
        <w:top w:val="none" w:sz="0" w:space="0" w:color="auto"/>
        <w:left w:val="none" w:sz="0" w:space="0" w:color="auto"/>
        <w:bottom w:val="none" w:sz="0" w:space="0" w:color="auto"/>
        <w:right w:val="none" w:sz="0" w:space="0" w:color="auto"/>
      </w:divBdr>
    </w:div>
    <w:div w:id="513375994">
      <w:bodyDiv w:val="1"/>
      <w:marLeft w:val="0"/>
      <w:marRight w:val="0"/>
      <w:marTop w:val="0"/>
      <w:marBottom w:val="0"/>
      <w:divBdr>
        <w:top w:val="none" w:sz="0" w:space="0" w:color="auto"/>
        <w:left w:val="none" w:sz="0" w:space="0" w:color="auto"/>
        <w:bottom w:val="none" w:sz="0" w:space="0" w:color="auto"/>
        <w:right w:val="none" w:sz="0" w:space="0" w:color="auto"/>
      </w:divBdr>
    </w:div>
    <w:div w:id="538274950">
      <w:bodyDiv w:val="1"/>
      <w:marLeft w:val="0"/>
      <w:marRight w:val="0"/>
      <w:marTop w:val="0"/>
      <w:marBottom w:val="0"/>
      <w:divBdr>
        <w:top w:val="none" w:sz="0" w:space="0" w:color="auto"/>
        <w:left w:val="none" w:sz="0" w:space="0" w:color="auto"/>
        <w:bottom w:val="none" w:sz="0" w:space="0" w:color="auto"/>
        <w:right w:val="none" w:sz="0" w:space="0" w:color="auto"/>
      </w:divBdr>
    </w:div>
    <w:div w:id="621690329">
      <w:bodyDiv w:val="1"/>
      <w:marLeft w:val="0"/>
      <w:marRight w:val="0"/>
      <w:marTop w:val="0"/>
      <w:marBottom w:val="0"/>
      <w:divBdr>
        <w:top w:val="none" w:sz="0" w:space="0" w:color="auto"/>
        <w:left w:val="none" w:sz="0" w:space="0" w:color="auto"/>
        <w:bottom w:val="none" w:sz="0" w:space="0" w:color="auto"/>
        <w:right w:val="none" w:sz="0" w:space="0" w:color="auto"/>
      </w:divBdr>
    </w:div>
    <w:div w:id="648479742">
      <w:bodyDiv w:val="1"/>
      <w:marLeft w:val="0"/>
      <w:marRight w:val="0"/>
      <w:marTop w:val="0"/>
      <w:marBottom w:val="0"/>
      <w:divBdr>
        <w:top w:val="none" w:sz="0" w:space="0" w:color="auto"/>
        <w:left w:val="none" w:sz="0" w:space="0" w:color="auto"/>
        <w:bottom w:val="none" w:sz="0" w:space="0" w:color="auto"/>
        <w:right w:val="none" w:sz="0" w:space="0" w:color="auto"/>
      </w:divBdr>
    </w:div>
    <w:div w:id="733242762">
      <w:bodyDiv w:val="1"/>
      <w:marLeft w:val="0"/>
      <w:marRight w:val="0"/>
      <w:marTop w:val="0"/>
      <w:marBottom w:val="0"/>
      <w:divBdr>
        <w:top w:val="none" w:sz="0" w:space="0" w:color="auto"/>
        <w:left w:val="none" w:sz="0" w:space="0" w:color="auto"/>
        <w:bottom w:val="none" w:sz="0" w:space="0" w:color="auto"/>
        <w:right w:val="none" w:sz="0" w:space="0" w:color="auto"/>
      </w:divBdr>
    </w:div>
    <w:div w:id="761493366">
      <w:bodyDiv w:val="1"/>
      <w:marLeft w:val="0"/>
      <w:marRight w:val="0"/>
      <w:marTop w:val="0"/>
      <w:marBottom w:val="0"/>
      <w:divBdr>
        <w:top w:val="none" w:sz="0" w:space="0" w:color="auto"/>
        <w:left w:val="none" w:sz="0" w:space="0" w:color="auto"/>
        <w:bottom w:val="none" w:sz="0" w:space="0" w:color="auto"/>
        <w:right w:val="none" w:sz="0" w:space="0" w:color="auto"/>
      </w:divBdr>
    </w:div>
    <w:div w:id="803043223">
      <w:bodyDiv w:val="1"/>
      <w:marLeft w:val="0"/>
      <w:marRight w:val="0"/>
      <w:marTop w:val="0"/>
      <w:marBottom w:val="0"/>
      <w:divBdr>
        <w:top w:val="none" w:sz="0" w:space="0" w:color="auto"/>
        <w:left w:val="none" w:sz="0" w:space="0" w:color="auto"/>
        <w:bottom w:val="none" w:sz="0" w:space="0" w:color="auto"/>
        <w:right w:val="none" w:sz="0" w:space="0" w:color="auto"/>
      </w:divBdr>
    </w:div>
    <w:div w:id="818155297">
      <w:bodyDiv w:val="1"/>
      <w:marLeft w:val="0"/>
      <w:marRight w:val="0"/>
      <w:marTop w:val="0"/>
      <w:marBottom w:val="0"/>
      <w:divBdr>
        <w:top w:val="none" w:sz="0" w:space="0" w:color="auto"/>
        <w:left w:val="none" w:sz="0" w:space="0" w:color="auto"/>
        <w:bottom w:val="none" w:sz="0" w:space="0" w:color="auto"/>
        <w:right w:val="none" w:sz="0" w:space="0" w:color="auto"/>
      </w:divBdr>
    </w:div>
    <w:div w:id="820073541">
      <w:bodyDiv w:val="1"/>
      <w:marLeft w:val="0"/>
      <w:marRight w:val="0"/>
      <w:marTop w:val="0"/>
      <w:marBottom w:val="0"/>
      <w:divBdr>
        <w:top w:val="none" w:sz="0" w:space="0" w:color="auto"/>
        <w:left w:val="none" w:sz="0" w:space="0" w:color="auto"/>
        <w:bottom w:val="none" w:sz="0" w:space="0" w:color="auto"/>
        <w:right w:val="none" w:sz="0" w:space="0" w:color="auto"/>
      </w:divBdr>
    </w:div>
    <w:div w:id="867839685">
      <w:bodyDiv w:val="1"/>
      <w:marLeft w:val="0"/>
      <w:marRight w:val="0"/>
      <w:marTop w:val="0"/>
      <w:marBottom w:val="0"/>
      <w:divBdr>
        <w:top w:val="none" w:sz="0" w:space="0" w:color="auto"/>
        <w:left w:val="none" w:sz="0" w:space="0" w:color="auto"/>
        <w:bottom w:val="none" w:sz="0" w:space="0" w:color="auto"/>
        <w:right w:val="none" w:sz="0" w:space="0" w:color="auto"/>
      </w:divBdr>
    </w:div>
    <w:div w:id="937642504">
      <w:bodyDiv w:val="1"/>
      <w:marLeft w:val="0"/>
      <w:marRight w:val="0"/>
      <w:marTop w:val="0"/>
      <w:marBottom w:val="0"/>
      <w:divBdr>
        <w:top w:val="none" w:sz="0" w:space="0" w:color="auto"/>
        <w:left w:val="none" w:sz="0" w:space="0" w:color="auto"/>
        <w:bottom w:val="none" w:sz="0" w:space="0" w:color="auto"/>
        <w:right w:val="none" w:sz="0" w:space="0" w:color="auto"/>
      </w:divBdr>
    </w:div>
    <w:div w:id="972441818">
      <w:bodyDiv w:val="1"/>
      <w:marLeft w:val="0"/>
      <w:marRight w:val="0"/>
      <w:marTop w:val="0"/>
      <w:marBottom w:val="0"/>
      <w:divBdr>
        <w:top w:val="none" w:sz="0" w:space="0" w:color="auto"/>
        <w:left w:val="none" w:sz="0" w:space="0" w:color="auto"/>
        <w:bottom w:val="none" w:sz="0" w:space="0" w:color="auto"/>
        <w:right w:val="none" w:sz="0" w:space="0" w:color="auto"/>
      </w:divBdr>
    </w:div>
    <w:div w:id="1033338325">
      <w:bodyDiv w:val="1"/>
      <w:marLeft w:val="0"/>
      <w:marRight w:val="0"/>
      <w:marTop w:val="0"/>
      <w:marBottom w:val="0"/>
      <w:divBdr>
        <w:top w:val="none" w:sz="0" w:space="0" w:color="auto"/>
        <w:left w:val="none" w:sz="0" w:space="0" w:color="auto"/>
        <w:bottom w:val="none" w:sz="0" w:space="0" w:color="auto"/>
        <w:right w:val="none" w:sz="0" w:space="0" w:color="auto"/>
      </w:divBdr>
    </w:div>
    <w:div w:id="1075393229">
      <w:bodyDiv w:val="1"/>
      <w:marLeft w:val="0"/>
      <w:marRight w:val="0"/>
      <w:marTop w:val="0"/>
      <w:marBottom w:val="0"/>
      <w:divBdr>
        <w:top w:val="none" w:sz="0" w:space="0" w:color="auto"/>
        <w:left w:val="none" w:sz="0" w:space="0" w:color="auto"/>
        <w:bottom w:val="none" w:sz="0" w:space="0" w:color="auto"/>
        <w:right w:val="none" w:sz="0" w:space="0" w:color="auto"/>
      </w:divBdr>
    </w:div>
    <w:div w:id="1087775332">
      <w:bodyDiv w:val="1"/>
      <w:marLeft w:val="0"/>
      <w:marRight w:val="0"/>
      <w:marTop w:val="0"/>
      <w:marBottom w:val="0"/>
      <w:divBdr>
        <w:top w:val="none" w:sz="0" w:space="0" w:color="auto"/>
        <w:left w:val="none" w:sz="0" w:space="0" w:color="auto"/>
        <w:bottom w:val="none" w:sz="0" w:space="0" w:color="auto"/>
        <w:right w:val="none" w:sz="0" w:space="0" w:color="auto"/>
      </w:divBdr>
    </w:div>
    <w:div w:id="1131021963">
      <w:bodyDiv w:val="1"/>
      <w:marLeft w:val="0"/>
      <w:marRight w:val="0"/>
      <w:marTop w:val="0"/>
      <w:marBottom w:val="0"/>
      <w:divBdr>
        <w:top w:val="none" w:sz="0" w:space="0" w:color="auto"/>
        <w:left w:val="none" w:sz="0" w:space="0" w:color="auto"/>
        <w:bottom w:val="none" w:sz="0" w:space="0" w:color="auto"/>
        <w:right w:val="none" w:sz="0" w:space="0" w:color="auto"/>
      </w:divBdr>
    </w:div>
    <w:div w:id="1181889982">
      <w:bodyDiv w:val="1"/>
      <w:marLeft w:val="0"/>
      <w:marRight w:val="0"/>
      <w:marTop w:val="0"/>
      <w:marBottom w:val="0"/>
      <w:divBdr>
        <w:top w:val="none" w:sz="0" w:space="0" w:color="auto"/>
        <w:left w:val="none" w:sz="0" w:space="0" w:color="auto"/>
        <w:bottom w:val="none" w:sz="0" w:space="0" w:color="auto"/>
        <w:right w:val="none" w:sz="0" w:space="0" w:color="auto"/>
      </w:divBdr>
    </w:div>
    <w:div w:id="1287664356">
      <w:bodyDiv w:val="1"/>
      <w:marLeft w:val="0"/>
      <w:marRight w:val="0"/>
      <w:marTop w:val="0"/>
      <w:marBottom w:val="0"/>
      <w:divBdr>
        <w:top w:val="none" w:sz="0" w:space="0" w:color="auto"/>
        <w:left w:val="none" w:sz="0" w:space="0" w:color="auto"/>
        <w:bottom w:val="none" w:sz="0" w:space="0" w:color="auto"/>
        <w:right w:val="none" w:sz="0" w:space="0" w:color="auto"/>
      </w:divBdr>
    </w:div>
    <w:div w:id="1342202289">
      <w:bodyDiv w:val="1"/>
      <w:marLeft w:val="0"/>
      <w:marRight w:val="0"/>
      <w:marTop w:val="0"/>
      <w:marBottom w:val="0"/>
      <w:divBdr>
        <w:top w:val="none" w:sz="0" w:space="0" w:color="auto"/>
        <w:left w:val="none" w:sz="0" w:space="0" w:color="auto"/>
        <w:bottom w:val="none" w:sz="0" w:space="0" w:color="auto"/>
        <w:right w:val="none" w:sz="0" w:space="0" w:color="auto"/>
      </w:divBdr>
      <w:divsChild>
        <w:div w:id="1633632206">
          <w:marLeft w:val="0"/>
          <w:marRight w:val="0"/>
          <w:marTop w:val="0"/>
          <w:marBottom w:val="0"/>
          <w:divBdr>
            <w:top w:val="none" w:sz="0" w:space="0" w:color="auto"/>
            <w:left w:val="none" w:sz="0" w:space="0" w:color="auto"/>
            <w:bottom w:val="none" w:sz="0" w:space="0" w:color="auto"/>
            <w:right w:val="none" w:sz="0" w:space="0" w:color="auto"/>
          </w:divBdr>
          <w:divsChild>
            <w:div w:id="1114590036">
              <w:marLeft w:val="0"/>
              <w:marRight w:val="0"/>
              <w:marTop w:val="0"/>
              <w:marBottom w:val="0"/>
              <w:divBdr>
                <w:top w:val="none" w:sz="0" w:space="0" w:color="auto"/>
                <w:left w:val="none" w:sz="0" w:space="0" w:color="auto"/>
                <w:bottom w:val="none" w:sz="0" w:space="0" w:color="auto"/>
                <w:right w:val="none" w:sz="0" w:space="0" w:color="auto"/>
              </w:divBdr>
              <w:divsChild>
                <w:div w:id="411779176">
                  <w:marLeft w:val="0"/>
                  <w:marRight w:val="0"/>
                  <w:marTop w:val="0"/>
                  <w:marBottom w:val="0"/>
                  <w:divBdr>
                    <w:top w:val="none" w:sz="0" w:space="0" w:color="auto"/>
                    <w:left w:val="none" w:sz="0" w:space="0" w:color="auto"/>
                    <w:bottom w:val="none" w:sz="0" w:space="0" w:color="auto"/>
                    <w:right w:val="none" w:sz="0" w:space="0" w:color="auto"/>
                  </w:divBdr>
                </w:div>
                <w:div w:id="1982805137">
                  <w:marLeft w:val="0"/>
                  <w:marRight w:val="0"/>
                  <w:marTop w:val="0"/>
                  <w:marBottom w:val="0"/>
                  <w:divBdr>
                    <w:top w:val="none" w:sz="0" w:space="0" w:color="auto"/>
                    <w:left w:val="none" w:sz="0" w:space="0" w:color="auto"/>
                    <w:bottom w:val="none" w:sz="0" w:space="0" w:color="auto"/>
                    <w:right w:val="none" w:sz="0" w:space="0" w:color="auto"/>
                  </w:divBdr>
                </w:div>
                <w:div w:id="686293574">
                  <w:marLeft w:val="0"/>
                  <w:marRight w:val="0"/>
                  <w:marTop w:val="0"/>
                  <w:marBottom w:val="0"/>
                  <w:divBdr>
                    <w:top w:val="none" w:sz="0" w:space="0" w:color="auto"/>
                    <w:left w:val="none" w:sz="0" w:space="0" w:color="auto"/>
                    <w:bottom w:val="none" w:sz="0" w:space="0" w:color="auto"/>
                    <w:right w:val="none" w:sz="0" w:space="0" w:color="auto"/>
                  </w:divBdr>
                  <w:divsChild>
                    <w:div w:id="10133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345582">
      <w:bodyDiv w:val="1"/>
      <w:marLeft w:val="0"/>
      <w:marRight w:val="0"/>
      <w:marTop w:val="0"/>
      <w:marBottom w:val="0"/>
      <w:divBdr>
        <w:top w:val="none" w:sz="0" w:space="0" w:color="auto"/>
        <w:left w:val="none" w:sz="0" w:space="0" w:color="auto"/>
        <w:bottom w:val="none" w:sz="0" w:space="0" w:color="auto"/>
        <w:right w:val="none" w:sz="0" w:space="0" w:color="auto"/>
      </w:divBdr>
    </w:div>
    <w:div w:id="1583875159">
      <w:bodyDiv w:val="1"/>
      <w:marLeft w:val="0"/>
      <w:marRight w:val="0"/>
      <w:marTop w:val="0"/>
      <w:marBottom w:val="0"/>
      <w:divBdr>
        <w:top w:val="none" w:sz="0" w:space="0" w:color="auto"/>
        <w:left w:val="none" w:sz="0" w:space="0" w:color="auto"/>
        <w:bottom w:val="none" w:sz="0" w:space="0" w:color="auto"/>
        <w:right w:val="none" w:sz="0" w:space="0" w:color="auto"/>
      </w:divBdr>
    </w:div>
    <w:div w:id="1701935276">
      <w:bodyDiv w:val="1"/>
      <w:marLeft w:val="0"/>
      <w:marRight w:val="0"/>
      <w:marTop w:val="0"/>
      <w:marBottom w:val="0"/>
      <w:divBdr>
        <w:top w:val="none" w:sz="0" w:space="0" w:color="auto"/>
        <w:left w:val="none" w:sz="0" w:space="0" w:color="auto"/>
        <w:bottom w:val="none" w:sz="0" w:space="0" w:color="auto"/>
        <w:right w:val="none" w:sz="0" w:space="0" w:color="auto"/>
      </w:divBdr>
    </w:div>
    <w:div w:id="1753159044">
      <w:bodyDiv w:val="1"/>
      <w:marLeft w:val="0"/>
      <w:marRight w:val="0"/>
      <w:marTop w:val="0"/>
      <w:marBottom w:val="0"/>
      <w:divBdr>
        <w:top w:val="none" w:sz="0" w:space="0" w:color="auto"/>
        <w:left w:val="none" w:sz="0" w:space="0" w:color="auto"/>
        <w:bottom w:val="none" w:sz="0" w:space="0" w:color="auto"/>
        <w:right w:val="none" w:sz="0" w:space="0" w:color="auto"/>
      </w:divBdr>
    </w:div>
    <w:div w:id="1754349396">
      <w:bodyDiv w:val="1"/>
      <w:marLeft w:val="0"/>
      <w:marRight w:val="0"/>
      <w:marTop w:val="0"/>
      <w:marBottom w:val="0"/>
      <w:divBdr>
        <w:top w:val="none" w:sz="0" w:space="0" w:color="auto"/>
        <w:left w:val="none" w:sz="0" w:space="0" w:color="auto"/>
        <w:bottom w:val="none" w:sz="0" w:space="0" w:color="auto"/>
        <w:right w:val="none" w:sz="0" w:space="0" w:color="auto"/>
      </w:divBdr>
    </w:div>
    <w:div w:id="1764842317">
      <w:bodyDiv w:val="1"/>
      <w:marLeft w:val="0"/>
      <w:marRight w:val="0"/>
      <w:marTop w:val="0"/>
      <w:marBottom w:val="0"/>
      <w:divBdr>
        <w:top w:val="none" w:sz="0" w:space="0" w:color="auto"/>
        <w:left w:val="none" w:sz="0" w:space="0" w:color="auto"/>
        <w:bottom w:val="none" w:sz="0" w:space="0" w:color="auto"/>
        <w:right w:val="none" w:sz="0" w:space="0" w:color="auto"/>
      </w:divBdr>
    </w:div>
    <w:div w:id="1835031160">
      <w:bodyDiv w:val="1"/>
      <w:marLeft w:val="0"/>
      <w:marRight w:val="0"/>
      <w:marTop w:val="0"/>
      <w:marBottom w:val="0"/>
      <w:divBdr>
        <w:top w:val="none" w:sz="0" w:space="0" w:color="auto"/>
        <w:left w:val="none" w:sz="0" w:space="0" w:color="auto"/>
        <w:bottom w:val="none" w:sz="0" w:space="0" w:color="auto"/>
        <w:right w:val="none" w:sz="0" w:space="0" w:color="auto"/>
      </w:divBdr>
    </w:div>
    <w:div w:id="1929196317">
      <w:bodyDiv w:val="1"/>
      <w:marLeft w:val="0"/>
      <w:marRight w:val="0"/>
      <w:marTop w:val="0"/>
      <w:marBottom w:val="0"/>
      <w:divBdr>
        <w:top w:val="none" w:sz="0" w:space="0" w:color="auto"/>
        <w:left w:val="none" w:sz="0" w:space="0" w:color="auto"/>
        <w:bottom w:val="none" w:sz="0" w:space="0" w:color="auto"/>
        <w:right w:val="none" w:sz="0" w:space="0" w:color="auto"/>
      </w:divBdr>
    </w:div>
    <w:div w:id="1967468971">
      <w:bodyDiv w:val="1"/>
      <w:marLeft w:val="0"/>
      <w:marRight w:val="0"/>
      <w:marTop w:val="0"/>
      <w:marBottom w:val="0"/>
      <w:divBdr>
        <w:top w:val="none" w:sz="0" w:space="0" w:color="auto"/>
        <w:left w:val="none" w:sz="0" w:space="0" w:color="auto"/>
        <w:bottom w:val="none" w:sz="0" w:space="0" w:color="auto"/>
        <w:right w:val="none" w:sz="0" w:space="0" w:color="auto"/>
      </w:divBdr>
    </w:div>
    <w:div w:id="2001809980">
      <w:bodyDiv w:val="1"/>
      <w:marLeft w:val="0"/>
      <w:marRight w:val="0"/>
      <w:marTop w:val="0"/>
      <w:marBottom w:val="0"/>
      <w:divBdr>
        <w:top w:val="none" w:sz="0" w:space="0" w:color="auto"/>
        <w:left w:val="none" w:sz="0" w:space="0" w:color="auto"/>
        <w:bottom w:val="none" w:sz="0" w:space="0" w:color="auto"/>
        <w:right w:val="none" w:sz="0" w:space="0" w:color="auto"/>
      </w:divBdr>
    </w:div>
    <w:div w:id="2038265182">
      <w:bodyDiv w:val="1"/>
      <w:marLeft w:val="0"/>
      <w:marRight w:val="0"/>
      <w:marTop w:val="0"/>
      <w:marBottom w:val="0"/>
      <w:divBdr>
        <w:top w:val="none" w:sz="0" w:space="0" w:color="auto"/>
        <w:left w:val="none" w:sz="0" w:space="0" w:color="auto"/>
        <w:bottom w:val="none" w:sz="0" w:space="0" w:color="auto"/>
        <w:right w:val="none" w:sz="0" w:space="0" w:color="auto"/>
      </w:divBdr>
    </w:div>
    <w:div w:id="2045012476">
      <w:bodyDiv w:val="1"/>
      <w:marLeft w:val="0"/>
      <w:marRight w:val="0"/>
      <w:marTop w:val="0"/>
      <w:marBottom w:val="0"/>
      <w:divBdr>
        <w:top w:val="none" w:sz="0" w:space="0" w:color="auto"/>
        <w:left w:val="none" w:sz="0" w:space="0" w:color="auto"/>
        <w:bottom w:val="none" w:sz="0" w:space="0" w:color="auto"/>
        <w:right w:val="none" w:sz="0" w:space="0" w:color="auto"/>
      </w:divBdr>
    </w:div>
    <w:div w:id="205437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2" Type="http://schemas.openxmlformats.org/officeDocument/2006/relationships/hyperlink" Target="https://www.greenscies.com/" TargetMode="External"/><Relationship Id="rId1" Type="http://schemas.openxmlformats.org/officeDocument/2006/relationships/hyperlink" Target="https://geothermal-energy-journal.springeropen.com/articles/10.1186/s40517-019-012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20Mitchell\AppData\Local\Microsoft\Windows\Temporary%20Internet%20Files\Content.Outlook\UUYSHZG0\London%20Council%20Consultation%20Response%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725DE22322A48E9A3D1AECE9FA4BEA3"/>
        <w:category>
          <w:name w:val="General"/>
          <w:gallery w:val="placeholder"/>
        </w:category>
        <w:types>
          <w:type w:val="bbPlcHdr"/>
        </w:types>
        <w:behaviors>
          <w:behavior w:val="content"/>
        </w:behaviors>
        <w:guid w:val="{100E6BAA-AAD2-4C16-89E1-02A94113BB2D}"/>
      </w:docPartPr>
      <w:docPartBody>
        <w:p w:rsidR="006803A5" w:rsidRDefault="006803A5">
          <w:pPr>
            <w:pStyle w:val="D725DE22322A48E9A3D1AECE9FA4BEA3"/>
          </w:pPr>
          <w:r w:rsidRPr="007910E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ne)">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3A5"/>
    <w:rsid w:val="000154CF"/>
    <w:rsid w:val="0005492D"/>
    <w:rsid w:val="0010020C"/>
    <w:rsid w:val="00147192"/>
    <w:rsid w:val="001474D3"/>
    <w:rsid w:val="00165B00"/>
    <w:rsid w:val="001758DA"/>
    <w:rsid w:val="001958A9"/>
    <w:rsid w:val="001D5060"/>
    <w:rsid w:val="001F7F41"/>
    <w:rsid w:val="0028162F"/>
    <w:rsid w:val="002D2102"/>
    <w:rsid w:val="003A116A"/>
    <w:rsid w:val="003B62C0"/>
    <w:rsid w:val="003C492E"/>
    <w:rsid w:val="003C4D4F"/>
    <w:rsid w:val="00454584"/>
    <w:rsid w:val="004572E7"/>
    <w:rsid w:val="004972E4"/>
    <w:rsid w:val="004B31CC"/>
    <w:rsid w:val="00531CB8"/>
    <w:rsid w:val="005525B7"/>
    <w:rsid w:val="00570E07"/>
    <w:rsid w:val="00571B15"/>
    <w:rsid w:val="005C5DB0"/>
    <w:rsid w:val="005D3A0C"/>
    <w:rsid w:val="00633D01"/>
    <w:rsid w:val="00640D28"/>
    <w:rsid w:val="00646E37"/>
    <w:rsid w:val="00671F77"/>
    <w:rsid w:val="006803A5"/>
    <w:rsid w:val="006A13E3"/>
    <w:rsid w:val="006A52D2"/>
    <w:rsid w:val="00785C50"/>
    <w:rsid w:val="008140BF"/>
    <w:rsid w:val="008144C1"/>
    <w:rsid w:val="008665F3"/>
    <w:rsid w:val="00895774"/>
    <w:rsid w:val="0091004F"/>
    <w:rsid w:val="009232C6"/>
    <w:rsid w:val="00995E43"/>
    <w:rsid w:val="009D02E0"/>
    <w:rsid w:val="00A912A8"/>
    <w:rsid w:val="00AE60F8"/>
    <w:rsid w:val="00BC58F1"/>
    <w:rsid w:val="00C520F4"/>
    <w:rsid w:val="00CA3C78"/>
    <w:rsid w:val="00D5219E"/>
    <w:rsid w:val="00D6517D"/>
    <w:rsid w:val="00D72BF7"/>
    <w:rsid w:val="00DA2C8D"/>
    <w:rsid w:val="00E14B1A"/>
    <w:rsid w:val="00E669A9"/>
    <w:rsid w:val="00E871EF"/>
    <w:rsid w:val="00E971C3"/>
    <w:rsid w:val="00F95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25DE22322A48E9A3D1AECE9FA4BEA3">
    <w:name w:val="D725DE22322A48E9A3D1AECE9FA4B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London Councils">
      <a:dk1>
        <a:sysClr val="windowText" lastClr="000000"/>
      </a:dk1>
      <a:lt1>
        <a:sysClr val="window" lastClr="FFFFFF"/>
      </a:lt1>
      <a:dk2>
        <a:srgbClr val="44546A"/>
      </a:dk2>
      <a:lt2>
        <a:srgbClr val="E7E6E6"/>
      </a:lt2>
      <a:accent1>
        <a:srgbClr val="522380"/>
      </a:accent1>
      <a:accent2>
        <a:srgbClr val="E1DCEB"/>
      </a:accent2>
      <a:accent3>
        <a:srgbClr val="EC098D"/>
      </a:accent3>
      <a:accent4>
        <a:srgbClr val="A891BF"/>
      </a:accent4>
      <a:accent5>
        <a:srgbClr val="F0EDF5"/>
      </a:accent5>
      <a:accent6>
        <a:srgbClr val="F584C6"/>
      </a:accent6>
      <a:hlink>
        <a:srgbClr val="EC098D"/>
      </a:hlink>
      <a:folHlink>
        <a:srgbClr val="F584C6"/>
      </a:folHlink>
    </a:clrScheme>
    <a:fontScheme name="London Counci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9C1DB042E98444857635425F8E8FFF" ma:contentTypeVersion="13" ma:contentTypeDescription="Create a new document." ma:contentTypeScope="" ma:versionID="9ebbe8ba8e3fa8078d850f28501af959">
  <xsd:schema xmlns:xsd="http://www.w3.org/2001/XMLSchema" xmlns:xs="http://www.w3.org/2001/XMLSchema" xmlns:p="http://schemas.microsoft.com/office/2006/metadata/properties" xmlns:ns3="2e626129-57f8-400f-9afa-785168c2712f" xmlns:ns4="54e3cf3c-df8d-4797-af9d-cdee34e6ee35" targetNamespace="http://schemas.microsoft.com/office/2006/metadata/properties" ma:root="true" ma:fieldsID="5df4939fea5d25546a6f835ec096d748" ns3:_="" ns4:_="">
    <xsd:import namespace="2e626129-57f8-400f-9afa-785168c2712f"/>
    <xsd:import namespace="54e3cf3c-df8d-4797-af9d-cdee34e6e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26129-57f8-400f-9afa-785168c27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e3cf3c-df8d-4797-af9d-cdee34e6ee3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EE67F-9207-400E-B138-CFD67158A0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52E486-F4A6-43C5-A501-DFFF6C9C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26129-57f8-400f-9afa-785168c2712f"/>
    <ds:schemaRef ds:uri="54e3cf3c-df8d-4797-af9d-cdee34e6e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404182-0541-4EAB-9F34-3EED871C7D2C}">
  <ds:schemaRefs>
    <ds:schemaRef ds:uri="http://schemas.microsoft.com/sharepoint/v3/contenttype/forms"/>
  </ds:schemaRefs>
</ds:datastoreItem>
</file>

<file path=customXml/itemProps4.xml><?xml version="1.0" encoding="utf-8"?>
<ds:datastoreItem xmlns:ds="http://schemas.openxmlformats.org/officeDocument/2006/customXml" ds:itemID="{8F5D39A6-7E0F-4DB0-ABD0-8682E3DFA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London Council Consultation Response Word Template</Template>
  <TotalTime>64</TotalTime>
  <Pages>6</Pages>
  <Words>2677</Words>
  <Characters>15262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London Council Consultation Response Word Template</vt:lpstr>
    </vt:vector>
  </TitlesOfParts>
  <Company>Creative Template Solutions Limited</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Council Consultation Response Word Template</dc:title>
  <dc:creator>Ian Mitchell</dc:creator>
  <cp:lastModifiedBy>Prashant Vaze</cp:lastModifiedBy>
  <cp:revision>3</cp:revision>
  <cp:lastPrinted>2020-08-28T16:01:00Z</cp:lastPrinted>
  <dcterms:created xsi:type="dcterms:W3CDTF">2022-10-10T13:27:00Z</dcterms:created>
  <dcterms:modified xsi:type="dcterms:W3CDTF">2022-10-10T14:17:00Z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03 June 2014</vt:lpwstr>
  </property>
  <property fmtid="{D5CDD505-2E9C-101B-9397-08002B2CF9AE}" pid="4" name="ContentTypeId">
    <vt:lpwstr>0x010100C89C1DB042E98444857635425F8E8FFF</vt:lpwstr>
  </property>
</Properties>
</file>