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8F348" w14:textId="0FDC6F17" w:rsidR="00613B46" w:rsidRPr="00CA5237" w:rsidRDefault="00613B46">
      <w:pPr>
        <w:rPr>
          <w:rFonts w:ascii="Arial" w:hAnsi="Arial" w:cs="Arial"/>
          <w:sz w:val="22"/>
          <w:szCs w:val="22"/>
        </w:rPr>
      </w:pPr>
    </w:p>
    <w:p w14:paraId="702ACD66" w14:textId="3BCE5942" w:rsidR="00DA43D8" w:rsidRPr="002665BC" w:rsidRDefault="00DA43D8" w:rsidP="002665BC">
      <w:pPr>
        <w:jc w:val="center"/>
        <w:rPr>
          <w:rFonts w:ascii="Arial" w:hAnsi="Arial" w:cs="Arial"/>
          <w:b/>
          <w:bCs/>
        </w:rPr>
      </w:pPr>
      <w:r w:rsidRPr="002665BC">
        <w:rPr>
          <w:rFonts w:ascii="Arial" w:hAnsi="Arial" w:cs="Arial"/>
          <w:b/>
          <w:bCs/>
        </w:rPr>
        <w:t>London Concessionary Bus Scheme 202</w:t>
      </w:r>
      <w:r w:rsidR="003F41D0" w:rsidRPr="002665BC">
        <w:rPr>
          <w:rFonts w:ascii="Arial" w:hAnsi="Arial" w:cs="Arial"/>
          <w:b/>
          <w:bCs/>
        </w:rPr>
        <w:t>2</w:t>
      </w:r>
      <w:r w:rsidRPr="002665BC">
        <w:rPr>
          <w:rFonts w:ascii="Arial" w:hAnsi="Arial" w:cs="Arial"/>
          <w:b/>
          <w:bCs/>
        </w:rPr>
        <w:t>-2</w:t>
      </w:r>
      <w:r w:rsidR="003F41D0" w:rsidRPr="002665BC">
        <w:rPr>
          <w:rFonts w:ascii="Arial" w:hAnsi="Arial" w:cs="Arial"/>
          <w:b/>
          <w:bCs/>
        </w:rPr>
        <w:t>3</w:t>
      </w:r>
      <w:r w:rsidRPr="002665BC">
        <w:rPr>
          <w:rFonts w:ascii="Arial" w:hAnsi="Arial" w:cs="Arial"/>
          <w:b/>
          <w:bCs/>
        </w:rPr>
        <w:t xml:space="preserve"> </w:t>
      </w:r>
      <w:r w:rsidR="00397AC4" w:rsidRPr="002665BC">
        <w:rPr>
          <w:rFonts w:ascii="Arial" w:hAnsi="Arial" w:cs="Arial"/>
          <w:b/>
          <w:bCs/>
        </w:rPr>
        <w:t xml:space="preserve">– Draft </w:t>
      </w:r>
    </w:p>
    <w:p w14:paraId="36501888" w14:textId="2E636D80" w:rsidR="003F41D0" w:rsidRPr="002665BC" w:rsidRDefault="002665BC" w:rsidP="002665BC">
      <w:pPr>
        <w:jc w:val="center"/>
        <w:rPr>
          <w:rFonts w:ascii="Arial" w:hAnsi="Arial" w:cs="Arial"/>
          <w:b/>
          <w:bCs/>
        </w:rPr>
      </w:pPr>
      <w:r w:rsidRPr="002665BC">
        <w:rPr>
          <w:rFonts w:ascii="Arial" w:hAnsi="Arial" w:cs="Arial"/>
          <w:b/>
          <w:bCs/>
        </w:rPr>
        <w:t xml:space="preserve">LONDON COUNCILS </w:t>
      </w:r>
    </w:p>
    <w:p w14:paraId="376CA131" w14:textId="4571BB43" w:rsidR="002665BC" w:rsidRPr="002665BC" w:rsidRDefault="002665BC" w:rsidP="002665BC">
      <w:pPr>
        <w:jc w:val="center"/>
        <w:rPr>
          <w:rFonts w:ascii="Arial" w:hAnsi="Arial" w:cs="Arial"/>
          <w:b/>
          <w:bCs/>
        </w:rPr>
      </w:pPr>
    </w:p>
    <w:p w14:paraId="5BAE30D6" w14:textId="77777777" w:rsidR="002665BC" w:rsidRPr="0040287D" w:rsidRDefault="002665BC" w:rsidP="002665BC">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14:paraId="44947163" w14:textId="77777777" w:rsidR="002665BC" w:rsidRPr="0040287D" w:rsidRDefault="002665BC" w:rsidP="002665BC">
      <w:pPr>
        <w:jc w:val="center"/>
        <w:rPr>
          <w:rFonts w:ascii="Arial" w:hAnsi="Arial" w:cs="Arial"/>
          <w:b/>
          <w:sz w:val="22"/>
          <w:szCs w:val="22"/>
        </w:rPr>
      </w:pPr>
    </w:p>
    <w:p w14:paraId="0C40D6B9" w14:textId="77777777" w:rsidR="002665BC" w:rsidRPr="0040287D" w:rsidRDefault="002665BC" w:rsidP="002665BC">
      <w:pPr>
        <w:jc w:val="center"/>
        <w:rPr>
          <w:rFonts w:ascii="Arial" w:hAnsi="Arial" w:cs="Arial"/>
          <w:b/>
          <w:sz w:val="22"/>
          <w:szCs w:val="22"/>
        </w:rPr>
      </w:pPr>
      <w:r w:rsidRPr="0040287D">
        <w:rPr>
          <w:rFonts w:ascii="Arial" w:hAnsi="Arial" w:cs="Arial"/>
          <w:b/>
          <w:sz w:val="22"/>
          <w:szCs w:val="22"/>
        </w:rPr>
        <w:t xml:space="preserve">To be valid </w:t>
      </w:r>
    </w:p>
    <w:p w14:paraId="3CB03C41" w14:textId="11506EBF" w:rsidR="002665BC" w:rsidRPr="0040287D" w:rsidRDefault="002665BC" w:rsidP="002665BC">
      <w:pPr>
        <w:jc w:val="center"/>
        <w:rPr>
          <w:rFonts w:ascii="Arial" w:hAnsi="Arial" w:cs="Arial"/>
          <w:b/>
          <w:sz w:val="22"/>
          <w:szCs w:val="22"/>
        </w:rPr>
      </w:pPr>
      <w:r w:rsidRPr="0040287D">
        <w:rPr>
          <w:rFonts w:ascii="Arial" w:hAnsi="Arial" w:cs="Arial"/>
          <w:b/>
          <w:sz w:val="22"/>
          <w:szCs w:val="22"/>
        </w:rPr>
        <w:t xml:space="preserve">From 1 April </w:t>
      </w:r>
      <w:r>
        <w:rPr>
          <w:rFonts w:ascii="Arial" w:hAnsi="Arial" w:cs="Arial"/>
          <w:b/>
          <w:sz w:val="22"/>
          <w:szCs w:val="22"/>
        </w:rPr>
        <w:t>202</w:t>
      </w:r>
      <w:r w:rsidR="00E62B01">
        <w:rPr>
          <w:rFonts w:ascii="Arial" w:hAnsi="Arial" w:cs="Arial"/>
          <w:b/>
          <w:sz w:val="22"/>
          <w:szCs w:val="22"/>
        </w:rPr>
        <w:t>2</w:t>
      </w:r>
    </w:p>
    <w:p w14:paraId="50044C4C" w14:textId="77777777" w:rsidR="002665BC" w:rsidRPr="0040287D" w:rsidRDefault="002665BC" w:rsidP="002665BC">
      <w:pPr>
        <w:rPr>
          <w:rFonts w:ascii="Arial" w:hAnsi="Arial" w:cs="Arial"/>
          <w:b/>
          <w:sz w:val="22"/>
          <w:szCs w:val="22"/>
          <w:u w:val="single"/>
        </w:rPr>
      </w:pPr>
    </w:p>
    <w:p w14:paraId="5FE532ED" w14:textId="77777777" w:rsidR="002665BC" w:rsidRPr="00CA5237" w:rsidRDefault="002665BC" w:rsidP="00DA43D8">
      <w:pPr>
        <w:rPr>
          <w:rFonts w:ascii="Arial" w:hAnsi="Arial" w:cs="Arial"/>
          <w:b/>
          <w:bCs/>
          <w:sz w:val="22"/>
          <w:szCs w:val="22"/>
        </w:rPr>
      </w:pPr>
    </w:p>
    <w:p w14:paraId="292E1626" w14:textId="691CD39E" w:rsidR="00EB2C24" w:rsidRPr="00CA5237" w:rsidRDefault="00CE1D12" w:rsidP="00EB2C24">
      <w:pPr>
        <w:ind w:left="720" w:hanging="720"/>
        <w:jc w:val="both"/>
        <w:rPr>
          <w:rFonts w:ascii="Arial" w:hAnsi="Arial" w:cs="Arial"/>
          <w:sz w:val="22"/>
          <w:szCs w:val="22"/>
        </w:rPr>
      </w:pPr>
      <w:r w:rsidRPr="00CA5237">
        <w:rPr>
          <w:rFonts w:ascii="Arial" w:hAnsi="Arial" w:cs="Arial"/>
          <w:sz w:val="22"/>
          <w:szCs w:val="22"/>
        </w:rPr>
        <w:t xml:space="preserve">London Councils is not changing the </w:t>
      </w:r>
      <w:r w:rsidR="00EB2C24" w:rsidRPr="00CA5237">
        <w:rPr>
          <w:rFonts w:ascii="Arial" w:hAnsi="Arial" w:cs="Arial"/>
          <w:sz w:val="22"/>
          <w:szCs w:val="22"/>
        </w:rPr>
        <w:t xml:space="preserve">main </w:t>
      </w:r>
      <w:r w:rsidRPr="00CA5237">
        <w:rPr>
          <w:rFonts w:ascii="Arial" w:hAnsi="Arial" w:cs="Arial"/>
          <w:sz w:val="22"/>
          <w:szCs w:val="22"/>
        </w:rPr>
        <w:t xml:space="preserve">principals of the scheme </w:t>
      </w:r>
      <w:r w:rsidR="00EB2C24" w:rsidRPr="00CA5237">
        <w:rPr>
          <w:rFonts w:ascii="Arial" w:hAnsi="Arial" w:cs="Arial"/>
          <w:sz w:val="22"/>
          <w:szCs w:val="22"/>
        </w:rPr>
        <w:t>published</w:t>
      </w:r>
    </w:p>
    <w:p w14:paraId="1108A761" w14:textId="11EF398E" w:rsidR="00A116B8" w:rsidRPr="00CA5237" w:rsidRDefault="00A116B8" w:rsidP="00A116B8">
      <w:pPr>
        <w:ind w:left="720" w:hanging="720"/>
        <w:jc w:val="both"/>
        <w:rPr>
          <w:rFonts w:ascii="Arial" w:hAnsi="Arial" w:cs="Arial"/>
          <w:sz w:val="22"/>
          <w:szCs w:val="22"/>
        </w:rPr>
      </w:pPr>
      <w:r w:rsidRPr="00CA5237">
        <w:rPr>
          <w:rFonts w:ascii="Arial" w:hAnsi="Arial" w:cs="Arial"/>
          <w:sz w:val="22"/>
          <w:szCs w:val="22"/>
        </w:rPr>
        <w:t>i</w:t>
      </w:r>
      <w:r w:rsidR="00EB2C24" w:rsidRPr="00CA5237">
        <w:rPr>
          <w:rFonts w:ascii="Arial" w:hAnsi="Arial" w:cs="Arial"/>
          <w:sz w:val="22"/>
          <w:szCs w:val="22"/>
        </w:rPr>
        <w:t>n Apr 2019</w:t>
      </w:r>
      <w:r w:rsidRPr="00CA5237">
        <w:rPr>
          <w:rFonts w:ascii="Arial" w:hAnsi="Arial" w:cs="Arial"/>
          <w:sz w:val="22"/>
          <w:szCs w:val="22"/>
        </w:rPr>
        <w:t xml:space="preserve">. This </w:t>
      </w:r>
      <w:r w:rsidR="00EB2C24" w:rsidRPr="00CA5237">
        <w:rPr>
          <w:rFonts w:ascii="Arial" w:hAnsi="Arial" w:cs="Arial"/>
          <w:sz w:val="22"/>
          <w:szCs w:val="22"/>
        </w:rPr>
        <w:t xml:space="preserve">was the last year </w:t>
      </w:r>
      <w:r w:rsidR="00CA5237">
        <w:rPr>
          <w:rFonts w:ascii="Arial" w:hAnsi="Arial" w:cs="Arial"/>
          <w:sz w:val="22"/>
          <w:szCs w:val="22"/>
        </w:rPr>
        <w:t>fully</w:t>
      </w:r>
      <w:r w:rsidR="00CA5237" w:rsidRPr="00CA5237">
        <w:rPr>
          <w:rFonts w:ascii="Arial" w:hAnsi="Arial" w:cs="Arial"/>
          <w:sz w:val="22"/>
          <w:szCs w:val="22"/>
        </w:rPr>
        <w:t xml:space="preserve"> </w:t>
      </w:r>
      <w:r w:rsidR="00EB2C24" w:rsidRPr="00CA5237">
        <w:rPr>
          <w:rFonts w:ascii="Arial" w:hAnsi="Arial" w:cs="Arial"/>
          <w:sz w:val="22"/>
          <w:szCs w:val="22"/>
        </w:rPr>
        <w:t>covered</w:t>
      </w:r>
      <w:r w:rsidRPr="00CA5237">
        <w:rPr>
          <w:rFonts w:ascii="Arial" w:hAnsi="Arial" w:cs="Arial"/>
          <w:sz w:val="22"/>
          <w:szCs w:val="22"/>
        </w:rPr>
        <w:t xml:space="preserve"> </w:t>
      </w:r>
      <w:r w:rsidR="00CA5237">
        <w:rPr>
          <w:rFonts w:ascii="Arial" w:hAnsi="Arial" w:cs="Arial"/>
          <w:sz w:val="22"/>
          <w:szCs w:val="22"/>
        </w:rPr>
        <w:t xml:space="preserve">by </w:t>
      </w:r>
      <w:r w:rsidRPr="00CA5237">
        <w:rPr>
          <w:rFonts w:ascii="Arial" w:hAnsi="Arial" w:cs="Arial"/>
          <w:sz w:val="22"/>
          <w:szCs w:val="22"/>
        </w:rPr>
        <w:t>the</w:t>
      </w:r>
      <w:r w:rsidR="00EB2C24" w:rsidRPr="00CA5237">
        <w:rPr>
          <w:rFonts w:ascii="Arial" w:hAnsi="Arial" w:cs="Arial"/>
          <w:sz w:val="22"/>
          <w:szCs w:val="22"/>
        </w:rPr>
        <w:t xml:space="preserve"> reimbursement arrangements </w:t>
      </w:r>
    </w:p>
    <w:p w14:paraId="0C70072B" w14:textId="04E63400" w:rsidR="00A116B8" w:rsidRPr="00CA5237" w:rsidRDefault="00EB2C24" w:rsidP="00EB2C24">
      <w:pPr>
        <w:ind w:left="720" w:hanging="720"/>
        <w:jc w:val="both"/>
        <w:rPr>
          <w:rFonts w:ascii="Arial" w:hAnsi="Arial" w:cs="Arial"/>
          <w:sz w:val="22"/>
          <w:szCs w:val="22"/>
        </w:rPr>
      </w:pPr>
      <w:r w:rsidRPr="00CA5237">
        <w:rPr>
          <w:rFonts w:ascii="Arial" w:hAnsi="Arial" w:cs="Arial"/>
          <w:sz w:val="22"/>
          <w:szCs w:val="22"/>
        </w:rPr>
        <w:t xml:space="preserve">under section 145A of the </w:t>
      </w:r>
      <w:r w:rsidR="00A116B8" w:rsidRPr="00CA5237">
        <w:rPr>
          <w:rFonts w:ascii="Arial" w:hAnsi="Arial" w:cs="Arial"/>
          <w:sz w:val="22"/>
          <w:szCs w:val="22"/>
        </w:rPr>
        <w:t xml:space="preserve">Transport </w:t>
      </w:r>
      <w:r w:rsidRPr="00CA5237">
        <w:rPr>
          <w:rFonts w:ascii="Arial" w:hAnsi="Arial" w:cs="Arial"/>
          <w:sz w:val="22"/>
          <w:szCs w:val="22"/>
        </w:rPr>
        <w:t>2000</w:t>
      </w:r>
      <w:r w:rsidR="00A116B8" w:rsidRPr="00CA5237">
        <w:rPr>
          <w:rFonts w:ascii="Arial" w:hAnsi="Arial" w:cs="Arial"/>
          <w:sz w:val="22"/>
          <w:szCs w:val="22"/>
        </w:rPr>
        <w:t xml:space="preserve"> </w:t>
      </w:r>
      <w:r w:rsidRPr="00CA5237">
        <w:rPr>
          <w:rFonts w:ascii="Arial" w:hAnsi="Arial" w:cs="Arial"/>
          <w:sz w:val="22"/>
          <w:szCs w:val="22"/>
        </w:rPr>
        <w:t>Act</w:t>
      </w:r>
    </w:p>
    <w:p w14:paraId="21735E37" w14:textId="78319815" w:rsidR="00EB2C24" w:rsidRPr="00CA5237" w:rsidRDefault="00EB2C24" w:rsidP="00DA43D8">
      <w:pPr>
        <w:rPr>
          <w:rFonts w:ascii="Arial" w:hAnsi="Arial" w:cs="Arial"/>
          <w:sz w:val="22"/>
          <w:szCs w:val="22"/>
        </w:rPr>
      </w:pPr>
    </w:p>
    <w:p w14:paraId="1418A349" w14:textId="055FA9BA" w:rsidR="00EB2C24" w:rsidRPr="00CA5237" w:rsidRDefault="004E7F1F" w:rsidP="00DA43D8">
      <w:pPr>
        <w:rPr>
          <w:rFonts w:ascii="Arial" w:hAnsi="Arial" w:cs="Arial"/>
          <w:sz w:val="22"/>
          <w:szCs w:val="22"/>
        </w:rPr>
      </w:pPr>
      <w:r w:rsidRPr="00CA5237">
        <w:rPr>
          <w:rFonts w:ascii="Arial" w:hAnsi="Arial" w:cs="Arial"/>
          <w:sz w:val="22"/>
          <w:szCs w:val="22"/>
        </w:rPr>
        <w:t xml:space="preserve">In April 2020 and April 2021, an addendum was added to the current scheme as response to Covid-19. </w:t>
      </w:r>
    </w:p>
    <w:p w14:paraId="40976255" w14:textId="77777777" w:rsidR="00E023F8" w:rsidRPr="00CA5237" w:rsidRDefault="00E023F8" w:rsidP="00DA43D8">
      <w:pPr>
        <w:rPr>
          <w:rFonts w:ascii="Arial" w:hAnsi="Arial" w:cs="Arial"/>
          <w:sz w:val="22"/>
          <w:szCs w:val="22"/>
        </w:rPr>
      </w:pPr>
    </w:p>
    <w:p w14:paraId="41FEF1FA" w14:textId="5A5A5013" w:rsidR="004E7F1F" w:rsidRPr="00CA5237" w:rsidRDefault="004E7F1F" w:rsidP="00DA43D8">
      <w:pPr>
        <w:rPr>
          <w:rFonts w:ascii="Arial" w:hAnsi="Arial" w:cs="Arial"/>
          <w:sz w:val="22"/>
          <w:szCs w:val="22"/>
        </w:rPr>
      </w:pPr>
      <w:r w:rsidRPr="00CA5237">
        <w:rPr>
          <w:rFonts w:ascii="Arial" w:hAnsi="Arial" w:cs="Arial"/>
          <w:sz w:val="22"/>
          <w:szCs w:val="22"/>
        </w:rPr>
        <w:t xml:space="preserve">In Apr 2020, </w:t>
      </w:r>
      <w:r w:rsidR="00E023F8" w:rsidRPr="00CA5237">
        <w:rPr>
          <w:rFonts w:ascii="Arial" w:hAnsi="Arial" w:cs="Arial"/>
          <w:sz w:val="22"/>
          <w:szCs w:val="22"/>
        </w:rPr>
        <w:t>London Councils Transport and Environment Committee approved extraordinary and temporary contractual provisions in line with the Department for Transport guidance.</w:t>
      </w:r>
    </w:p>
    <w:p w14:paraId="55BEDFD0" w14:textId="169D1285" w:rsidR="00E023F8" w:rsidRPr="00CA5237" w:rsidRDefault="00E023F8" w:rsidP="00DA43D8">
      <w:pPr>
        <w:rPr>
          <w:rFonts w:ascii="Arial" w:hAnsi="Arial" w:cs="Arial"/>
          <w:sz w:val="22"/>
          <w:szCs w:val="22"/>
        </w:rPr>
      </w:pPr>
    </w:p>
    <w:p w14:paraId="00434C07" w14:textId="217FB84E" w:rsidR="00073BC3" w:rsidRPr="00CA5237" w:rsidRDefault="00E023F8" w:rsidP="00DA43D8">
      <w:pPr>
        <w:rPr>
          <w:rFonts w:ascii="Arial" w:hAnsi="Arial" w:cs="Arial"/>
          <w:sz w:val="22"/>
          <w:szCs w:val="22"/>
        </w:rPr>
      </w:pPr>
      <w:r w:rsidRPr="00CA5237">
        <w:rPr>
          <w:rFonts w:ascii="Arial" w:hAnsi="Arial" w:cs="Arial"/>
          <w:sz w:val="22"/>
          <w:szCs w:val="22"/>
        </w:rPr>
        <w:t>The arrangement was to continue to pay the bus operators the same reimbursement value as in the last quarter of pre-Covid 19. This arrangement remained in place for the period of Apr 20-Dec 20</w:t>
      </w:r>
      <w:r w:rsidR="00073BC3" w:rsidRPr="00CA5237">
        <w:rPr>
          <w:rFonts w:ascii="Arial" w:hAnsi="Arial" w:cs="Arial"/>
          <w:sz w:val="22"/>
          <w:szCs w:val="22"/>
        </w:rPr>
        <w:t>, while public restrictions and social distancing measures where required.</w:t>
      </w:r>
    </w:p>
    <w:p w14:paraId="123F94D4" w14:textId="0F517A61" w:rsidR="00073BC3" w:rsidRDefault="00073BC3" w:rsidP="00DA43D8">
      <w:pPr>
        <w:rPr>
          <w:rFonts w:ascii="Arial" w:hAnsi="Arial" w:cs="Arial"/>
          <w:sz w:val="22"/>
          <w:szCs w:val="22"/>
        </w:rPr>
      </w:pPr>
    </w:p>
    <w:p w14:paraId="43D093F6" w14:textId="33C90B1A" w:rsidR="002665BC" w:rsidRDefault="002665BC" w:rsidP="00DA43D8">
      <w:pPr>
        <w:rPr>
          <w:rFonts w:ascii="Arial" w:hAnsi="Arial" w:cs="Arial"/>
          <w:sz w:val="22"/>
          <w:szCs w:val="22"/>
        </w:rPr>
      </w:pPr>
    </w:p>
    <w:p w14:paraId="42BBA9E7" w14:textId="77777777" w:rsidR="002665BC" w:rsidRPr="00CA5237" w:rsidRDefault="002665BC" w:rsidP="00DA43D8">
      <w:pPr>
        <w:rPr>
          <w:rFonts w:ascii="Arial" w:hAnsi="Arial" w:cs="Arial"/>
          <w:sz w:val="22"/>
          <w:szCs w:val="22"/>
        </w:rPr>
      </w:pPr>
    </w:p>
    <w:p w14:paraId="667F76CF" w14:textId="77777777" w:rsidR="00056BE2" w:rsidRPr="00CA5237" w:rsidRDefault="00073BC3" w:rsidP="00DA43D8">
      <w:pPr>
        <w:rPr>
          <w:rFonts w:ascii="Arial" w:hAnsi="Arial" w:cs="Arial"/>
          <w:sz w:val="22"/>
          <w:szCs w:val="22"/>
        </w:rPr>
      </w:pPr>
      <w:r w:rsidRPr="00CA5237">
        <w:rPr>
          <w:rFonts w:ascii="Arial" w:hAnsi="Arial" w:cs="Arial"/>
          <w:sz w:val="22"/>
          <w:szCs w:val="22"/>
        </w:rPr>
        <w:t>In January 2021, a second addendum was issued by London Councils</w:t>
      </w:r>
      <w:r w:rsidR="00FA4088" w:rsidRPr="00CA5237">
        <w:rPr>
          <w:rFonts w:ascii="Arial" w:hAnsi="Arial" w:cs="Arial"/>
          <w:sz w:val="22"/>
          <w:szCs w:val="22"/>
        </w:rPr>
        <w:t xml:space="preserve"> to local bus services in response Covid-19 recovery. A new arrangement was agreed between London Councils and the bus operators </w:t>
      </w:r>
      <w:r w:rsidR="00056BE2" w:rsidRPr="00CA5237">
        <w:rPr>
          <w:rFonts w:ascii="Arial" w:hAnsi="Arial" w:cs="Arial"/>
          <w:sz w:val="22"/>
          <w:szCs w:val="22"/>
        </w:rPr>
        <w:t xml:space="preserve">to reflect the level of service the operators were offering to public at any given payment period compared with the service level offered at the payment period of pre-Covid 19. </w:t>
      </w:r>
    </w:p>
    <w:p w14:paraId="03E8F2C2" w14:textId="77777777" w:rsidR="00056BE2" w:rsidRPr="00CA5237" w:rsidRDefault="00056BE2" w:rsidP="00056BE2">
      <w:pPr>
        <w:rPr>
          <w:rFonts w:ascii="Arial" w:hAnsi="Arial" w:cs="Arial"/>
          <w:sz w:val="22"/>
          <w:szCs w:val="22"/>
        </w:rPr>
      </w:pPr>
    </w:p>
    <w:p w14:paraId="2814EC2C" w14:textId="77777777" w:rsidR="00EA3F3D" w:rsidRPr="00CA5237" w:rsidRDefault="00056BE2" w:rsidP="00056BE2">
      <w:pPr>
        <w:rPr>
          <w:rFonts w:ascii="Arial" w:hAnsi="Arial" w:cs="Arial"/>
          <w:sz w:val="22"/>
          <w:szCs w:val="22"/>
        </w:rPr>
      </w:pPr>
      <w:r w:rsidRPr="00CA5237">
        <w:rPr>
          <w:rFonts w:ascii="Arial" w:hAnsi="Arial" w:cs="Arial"/>
          <w:sz w:val="22"/>
          <w:szCs w:val="22"/>
        </w:rPr>
        <w:t>The Reimbursement to LSP Operators continue</w:t>
      </w:r>
      <w:r w:rsidR="00EA3F3D" w:rsidRPr="00CA5237">
        <w:rPr>
          <w:rFonts w:ascii="Arial" w:hAnsi="Arial" w:cs="Arial"/>
          <w:sz w:val="22"/>
          <w:szCs w:val="22"/>
        </w:rPr>
        <w:t xml:space="preserve">d </w:t>
      </w:r>
      <w:r w:rsidRPr="00CA5237">
        <w:rPr>
          <w:rFonts w:ascii="Arial" w:hAnsi="Arial" w:cs="Arial"/>
          <w:sz w:val="22"/>
          <w:szCs w:val="22"/>
        </w:rPr>
        <w:t xml:space="preserve">to be made under the Schemes on a quarterly basis calculated on the actual number of journeys taken </w:t>
      </w:r>
      <w:r w:rsidR="00EA3F3D" w:rsidRPr="00CA5237">
        <w:rPr>
          <w:rFonts w:ascii="Arial" w:hAnsi="Arial" w:cs="Arial"/>
          <w:sz w:val="22"/>
          <w:szCs w:val="22"/>
        </w:rPr>
        <w:t xml:space="preserve">in the last quarter of pre-Covid 19 </w:t>
      </w:r>
      <w:r w:rsidRPr="00CA5237">
        <w:rPr>
          <w:rFonts w:ascii="Arial" w:hAnsi="Arial" w:cs="Arial"/>
          <w:sz w:val="22"/>
          <w:szCs w:val="22"/>
        </w:rPr>
        <w:t xml:space="preserve">and adjusted for </w:t>
      </w:r>
      <w:r w:rsidR="00EA3F3D" w:rsidRPr="00CA5237">
        <w:rPr>
          <w:rFonts w:ascii="Arial" w:hAnsi="Arial" w:cs="Arial"/>
          <w:sz w:val="22"/>
          <w:szCs w:val="22"/>
        </w:rPr>
        <w:t xml:space="preserve">the service level. So, operators who continued to operate as normal during Covid-19 were paid 100% of the last normal quarter amount, while the operators with reduced service level were paid based on the estimated reduction </w:t>
      </w:r>
    </w:p>
    <w:p w14:paraId="054EBAA5" w14:textId="501C66CF" w:rsidR="00056BE2" w:rsidRPr="00CA5237" w:rsidRDefault="00EA3F3D" w:rsidP="00056BE2">
      <w:pPr>
        <w:rPr>
          <w:rFonts w:ascii="Arial" w:hAnsi="Arial" w:cs="Arial"/>
          <w:sz w:val="22"/>
          <w:szCs w:val="22"/>
        </w:rPr>
      </w:pPr>
      <w:r w:rsidRPr="00CA5237">
        <w:rPr>
          <w:rFonts w:ascii="Arial" w:hAnsi="Arial" w:cs="Arial"/>
          <w:sz w:val="22"/>
          <w:szCs w:val="22"/>
        </w:rPr>
        <w:t xml:space="preserve"> </w:t>
      </w:r>
    </w:p>
    <w:p w14:paraId="6CA0FF78" w14:textId="1040BA23" w:rsidR="00EA3F3D" w:rsidRPr="00CA5237" w:rsidRDefault="00EA3F3D" w:rsidP="00056BE2">
      <w:pPr>
        <w:rPr>
          <w:rFonts w:ascii="Arial" w:hAnsi="Arial" w:cs="Arial"/>
          <w:sz w:val="22"/>
          <w:szCs w:val="22"/>
        </w:rPr>
      </w:pPr>
      <w:r w:rsidRPr="00CA5237">
        <w:rPr>
          <w:rFonts w:ascii="Arial" w:hAnsi="Arial" w:cs="Arial"/>
          <w:sz w:val="22"/>
          <w:szCs w:val="22"/>
        </w:rPr>
        <w:t xml:space="preserve">This arrangement </w:t>
      </w:r>
      <w:r w:rsidR="00C11C0C" w:rsidRPr="00CA5237">
        <w:rPr>
          <w:rFonts w:ascii="Arial" w:hAnsi="Arial" w:cs="Arial"/>
          <w:sz w:val="22"/>
          <w:szCs w:val="22"/>
        </w:rPr>
        <w:t>carried to the 2021-22 financial year on the same agreed terms as in Jan 2021.</w:t>
      </w:r>
    </w:p>
    <w:p w14:paraId="1E3185EB" w14:textId="6CEB3A7F" w:rsidR="00C11C0C" w:rsidRPr="00CA5237" w:rsidRDefault="00C11C0C" w:rsidP="00056BE2">
      <w:pPr>
        <w:rPr>
          <w:rFonts w:ascii="Arial" w:hAnsi="Arial" w:cs="Arial"/>
          <w:sz w:val="22"/>
          <w:szCs w:val="22"/>
        </w:rPr>
      </w:pPr>
    </w:p>
    <w:p w14:paraId="173007D6" w14:textId="1DB7E125" w:rsidR="00C11C0C" w:rsidRPr="00CA5237" w:rsidRDefault="00C11C0C" w:rsidP="00056BE2">
      <w:pPr>
        <w:rPr>
          <w:rFonts w:ascii="Arial" w:hAnsi="Arial" w:cs="Arial"/>
          <w:sz w:val="22"/>
          <w:szCs w:val="22"/>
        </w:rPr>
      </w:pPr>
      <w:r w:rsidRPr="00CA5237">
        <w:rPr>
          <w:rFonts w:ascii="Arial" w:hAnsi="Arial" w:cs="Arial"/>
          <w:sz w:val="22"/>
          <w:szCs w:val="22"/>
        </w:rPr>
        <w:t>In October 2021 Department for Transport issued a new guidance on the Covid-19 recovery. (The guidance is uploaded in the same portal of London Councils website; https://www.londoncouncils.gov.uk/services/freedom-pass/information-bus-operators</w:t>
      </w:r>
    </w:p>
    <w:p w14:paraId="22DC37A2" w14:textId="32451ADD" w:rsidR="00E023F8" w:rsidRPr="00CA5237" w:rsidRDefault="00056BE2" w:rsidP="00DA43D8">
      <w:pPr>
        <w:rPr>
          <w:rFonts w:ascii="Arial" w:hAnsi="Arial" w:cs="Arial"/>
          <w:sz w:val="22"/>
          <w:szCs w:val="22"/>
        </w:rPr>
      </w:pPr>
      <w:r w:rsidRPr="00CA5237">
        <w:rPr>
          <w:rFonts w:ascii="Arial" w:hAnsi="Arial" w:cs="Arial"/>
          <w:sz w:val="22"/>
          <w:szCs w:val="22"/>
        </w:rPr>
        <w:t xml:space="preserve"> </w:t>
      </w:r>
    </w:p>
    <w:p w14:paraId="202462A2" w14:textId="2725B0F3" w:rsidR="00C11C0C" w:rsidRPr="00CA5237" w:rsidRDefault="00C11C0C" w:rsidP="00DA43D8">
      <w:pPr>
        <w:rPr>
          <w:rFonts w:ascii="Arial" w:hAnsi="Arial" w:cs="Arial"/>
          <w:sz w:val="22"/>
          <w:szCs w:val="22"/>
        </w:rPr>
      </w:pPr>
      <w:r w:rsidRPr="00CA5237">
        <w:rPr>
          <w:rFonts w:ascii="Arial" w:hAnsi="Arial" w:cs="Arial"/>
          <w:sz w:val="22"/>
          <w:szCs w:val="22"/>
        </w:rPr>
        <w:lastRenderedPageBreak/>
        <w:t xml:space="preserve">London Councils will follow and apply the DFT guidance </w:t>
      </w:r>
      <w:r w:rsidR="0091051C" w:rsidRPr="00CA5237">
        <w:rPr>
          <w:rFonts w:ascii="Arial" w:hAnsi="Arial" w:cs="Arial"/>
          <w:sz w:val="22"/>
          <w:szCs w:val="22"/>
        </w:rPr>
        <w:t xml:space="preserve">for the 2022-2023 Financial Year, which </w:t>
      </w:r>
      <w:r w:rsidR="002A50D3" w:rsidRPr="00CA5237">
        <w:rPr>
          <w:rFonts w:ascii="Arial" w:hAnsi="Arial" w:cs="Arial"/>
          <w:sz w:val="22"/>
          <w:szCs w:val="22"/>
        </w:rPr>
        <w:t>i</w:t>
      </w:r>
      <w:r w:rsidR="002A50D3">
        <w:rPr>
          <w:rFonts w:ascii="Arial" w:hAnsi="Arial" w:cs="Arial"/>
          <w:sz w:val="22"/>
          <w:szCs w:val="22"/>
        </w:rPr>
        <w:t>ncludes</w:t>
      </w:r>
      <w:r w:rsidR="002A50D3" w:rsidRPr="00CA5237">
        <w:rPr>
          <w:rFonts w:ascii="Arial" w:hAnsi="Arial" w:cs="Arial"/>
          <w:sz w:val="22"/>
          <w:szCs w:val="22"/>
        </w:rPr>
        <w:t xml:space="preserve"> </w:t>
      </w:r>
      <w:r w:rsidR="0091051C" w:rsidRPr="00CA5237">
        <w:rPr>
          <w:rFonts w:ascii="Arial" w:hAnsi="Arial" w:cs="Arial"/>
          <w:sz w:val="22"/>
          <w:szCs w:val="22"/>
        </w:rPr>
        <w:t xml:space="preserve">a phased reduction of the current arrangement of pre-Covid payments and level of offered services. </w:t>
      </w:r>
    </w:p>
    <w:p w14:paraId="4DC944E4" w14:textId="76151428" w:rsidR="0091051C" w:rsidRPr="00CA5237" w:rsidRDefault="0091051C" w:rsidP="00DA43D8">
      <w:pPr>
        <w:rPr>
          <w:rFonts w:ascii="Arial" w:hAnsi="Arial" w:cs="Arial"/>
          <w:sz w:val="22"/>
          <w:szCs w:val="22"/>
        </w:rPr>
      </w:pPr>
    </w:p>
    <w:p w14:paraId="21B32C2F" w14:textId="1BB9FF07" w:rsidR="001855A9" w:rsidRPr="00CA5237" w:rsidRDefault="00382783" w:rsidP="00DA43D8">
      <w:pPr>
        <w:rPr>
          <w:rFonts w:ascii="Arial" w:hAnsi="Arial" w:cs="Arial"/>
          <w:sz w:val="22"/>
          <w:szCs w:val="22"/>
        </w:rPr>
      </w:pPr>
      <w:r w:rsidRPr="00CA5237">
        <w:rPr>
          <w:rFonts w:ascii="Arial" w:hAnsi="Arial" w:cs="Arial"/>
          <w:sz w:val="22"/>
          <w:szCs w:val="22"/>
        </w:rPr>
        <w:t xml:space="preserve">The below table shows the DFT monthly scale of reduction and London Councils quarterly scale reduction </w:t>
      </w:r>
    </w:p>
    <w:p w14:paraId="4F4621DE" w14:textId="02DF041E" w:rsidR="001855A9" w:rsidRPr="00CA5237" w:rsidRDefault="001855A9" w:rsidP="00DA43D8">
      <w:pPr>
        <w:rPr>
          <w:rFonts w:ascii="Arial" w:hAnsi="Arial" w:cs="Arial"/>
          <w:sz w:val="22"/>
          <w:szCs w:val="22"/>
        </w:rPr>
      </w:pPr>
    </w:p>
    <w:tbl>
      <w:tblPr>
        <w:tblW w:w="5940" w:type="dxa"/>
        <w:tblLook w:val="04A0" w:firstRow="1" w:lastRow="0" w:firstColumn="1" w:lastColumn="0" w:noHBand="0" w:noVBand="1"/>
      </w:tblPr>
      <w:tblGrid>
        <w:gridCol w:w="1060"/>
        <w:gridCol w:w="1757"/>
        <w:gridCol w:w="1503"/>
        <w:gridCol w:w="1620"/>
      </w:tblGrid>
      <w:tr w:rsidR="00397AC4" w:rsidRPr="00CA5237" w14:paraId="0F02C67F" w14:textId="77777777" w:rsidTr="00397AC4">
        <w:trPr>
          <w:trHeight w:val="1815"/>
        </w:trPr>
        <w:tc>
          <w:tcPr>
            <w:tcW w:w="1060" w:type="dxa"/>
            <w:tcBorders>
              <w:top w:val="nil"/>
              <w:left w:val="nil"/>
              <w:bottom w:val="nil"/>
              <w:right w:val="nil"/>
            </w:tcBorders>
            <w:shd w:val="clear" w:color="auto" w:fill="auto"/>
            <w:noWrap/>
            <w:vAlign w:val="bottom"/>
            <w:hideMark/>
          </w:tcPr>
          <w:p w14:paraId="7EBE613E" w14:textId="77777777" w:rsidR="00397AC4" w:rsidRPr="00CA5237" w:rsidRDefault="00397AC4" w:rsidP="00397AC4">
            <w:pPr>
              <w:rPr>
                <w:rFonts w:ascii="Arial" w:hAnsi="Arial" w:cs="Arial"/>
                <w:sz w:val="22"/>
                <w:szCs w:val="22"/>
                <w:lang w:eastAsia="en-GB"/>
              </w:rPr>
            </w:pPr>
          </w:p>
        </w:tc>
        <w:tc>
          <w:tcPr>
            <w:tcW w:w="1680" w:type="dxa"/>
            <w:tcBorders>
              <w:top w:val="single" w:sz="8" w:space="0" w:color="auto"/>
              <w:left w:val="single" w:sz="8" w:space="0" w:color="auto"/>
              <w:bottom w:val="nil"/>
              <w:right w:val="single" w:sz="8" w:space="0" w:color="auto"/>
            </w:tcBorders>
            <w:shd w:val="clear" w:color="auto" w:fill="auto"/>
            <w:vAlign w:val="center"/>
            <w:hideMark/>
          </w:tcPr>
          <w:p w14:paraId="68A5894C" w14:textId="77777777" w:rsidR="00397AC4" w:rsidRPr="00CA5237" w:rsidRDefault="00397AC4" w:rsidP="00397AC4">
            <w:pPr>
              <w:rPr>
                <w:rFonts w:ascii="Arial" w:hAnsi="Arial" w:cs="Arial"/>
                <w:b/>
                <w:bCs/>
                <w:color w:val="000000"/>
                <w:sz w:val="22"/>
                <w:szCs w:val="22"/>
                <w:lang w:eastAsia="en-GB"/>
              </w:rPr>
            </w:pPr>
            <w:r w:rsidRPr="00CA5237">
              <w:rPr>
                <w:rFonts w:ascii="Arial" w:hAnsi="Arial" w:cs="Arial"/>
                <w:b/>
                <w:bCs/>
                <w:color w:val="000000"/>
                <w:sz w:val="22"/>
                <w:szCs w:val="22"/>
                <w:lang w:eastAsia="en-GB"/>
              </w:rPr>
              <w:t>DFT % scale down of LTA pre-Covid concessionary payment</w:t>
            </w:r>
          </w:p>
        </w:tc>
        <w:tc>
          <w:tcPr>
            <w:tcW w:w="1580" w:type="dxa"/>
            <w:tcBorders>
              <w:top w:val="single" w:sz="8" w:space="0" w:color="auto"/>
              <w:left w:val="nil"/>
              <w:bottom w:val="single" w:sz="8" w:space="0" w:color="auto"/>
              <w:right w:val="single" w:sz="8" w:space="0" w:color="auto"/>
            </w:tcBorders>
            <w:shd w:val="clear" w:color="auto" w:fill="auto"/>
            <w:vAlign w:val="center"/>
            <w:hideMark/>
          </w:tcPr>
          <w:p w14:paraId="31911987" w14:textId="77777777" w:rsidR="00397AC4" w:rsidRPr="00CA5237" w:rsidRDefault="00397AC4" w:rsidP="00397AC4">
            <w:pPr>
              <w:rPr>
                <w:rFonts w:ascii="Arial" w:hAnsi="Arial" w:cs="Arial"/>
                <w:b/>
                <w:bCs/>
                <w:color w:val="000000"/>
                <w:sz w:val="22"/>
                <w:szCs w:val="22"/>
                <w:lang w:eastAsia="en-GB"/>
              </w:rPr>
            </w:pPr>
            <w:r w:rsidRPr="00CA5237">
              <w:rPr>
                <w:rFonts w:ascii="Arial" w:hAnsi="Arial" w:cs="Arial"/>
                <w:b/>
                <w:bCs/>
                <w:color w:val="000000"/>
                <w:sz w:val="22"/>
                <w:szCs w:val="22"/>
                <w:lang w:eastAsia="en-GB"/>
              </w:rPr>
              <w:t xml:space="preserve">Translated in line with London Councils quarterly payment </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14:paraId="268D1F9E" w14:textId="77777777" w:rsidR="00397AC4" w:rsidRPr="00CA5237" w:rsidRDefault="00397AC4" w:rsidP="00397AC4">
            <w:pPr>
              <w:rPr>
                <w:rFonts w:ascii="Arial" w:hAnsi="Arial" w:cs="Arial"/>
                <w:b/>
                <w:bCs/>
                <w:color w:val="000000"/>
                <w:sz w:val="22"/>
                <w:szCs w:val="22"/>
                <w:lang w:eastAsia="en-GB"/>
              </w:rPr>
            </w:pPr>
            <w:r w:rsidRPr="00CA5237">
              <w:rPr>
                <w:rFonts w:ascii="Arial" w:hAnsi="Arial" w:cs="Arial"/>
                <w:b/>
                <w:bCs/>
                <w:color w:val="000000"/>
                <w:sz w:val="22"/>
                <w:szCs w:val="22"/>
                <w:lang w:eastAsia="en-GB"/>
              </w:rPr>
              <w:t>London Councils % scale down payment (average of three months)</w:t>
            </w:r>
          </w:p>
        </w:tc>
      </w:tr>
      <w:tr w:rsidR="00397AC4" w:rsidRPr="00CA5237" w14:paraId="0C39540D" w14:textId="77777777" w:rsidTr="00397AC4">
        <w:trPr>
          <w:trHeight w:val="300"/>
        </w:trPr>
        <w:tc>
          <w:tcPr>
            <w:tcW w:w="1060" w:type="dxa"/>
            <w:tcBorders>
              <w:top w:val="single" w:sz="8" w:space="0" w:color="auto"/>
              <w:left w:val="single" w:sz="8" w:space="0" w:color="auto"/>
              <w:bottom w:val="nil"/>
              <w:right w:val="nil"/>
            </w:tcBorders>
            <w:shd w:val="clear" w:color="auto" w:fill="auto"/>
            <w:noWrap/>
            <w:vAlign w:val="center"/>
            <w:hideMark/>
          </w:tcPr>
          <w:p w14:paraId="78859E4C"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Apr-22</w:t>
            </w:r>
          </w:p>
        </w:tc>
        <w:tc>
          <w:tcPr>
            <w:tcW w:w="1680" w:type="dxa"/>
            <w:tcBorders>
              <w:top w:val="single" w:sz="8" w:space="0" w:color="auto"/>
              <w:left w:val="single" w:sz="8" w:space="0" w:color="auto"/>
              <w:bottom w:val="nil"/>
              <w:right w:val="single" w:sz="8" w:space="0" w:color="auto"/>
            </w:tcBorders>
            <w:shd w:val="clear" w:color="auto" w:fill="auto"/>
            <w:noWrap/>
            <w:vAlign w:val="center"/>
            <w:hideMark/>
          </w:tcPr>
          <w:p w14:paraId="3916B13C"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90%</w:t>
            </w:r>
          </w:p>
        </w:tc>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14:paraId="369A2CBB"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 xml:space="preserve">Q1 </w:t>
            </w:r>
          </w:p>
        </w:tc>
        <w:tc>
          <w:tcPr>
            <w:tcW w:w="16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B2C4EB"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88.33%</w:t>
            </w:r>
          </w:p>
        </w:tc>
      </w:tr>
      <w:tr w:rsidR="00397AC4" w:rsidRPr="00CA5237" w14:paraId="7D006F8B" w14:textId="77777777" w:rsidTr="00397AC4">
        <w:trPr>
          <w:trHeight w:val="300"/>
        </w:trPr>
        <w:tc>
          <w:tcPr>
            <w:tcW w:w="1060" w:type="dxa"/>
            <w:tcBorders>
              <w:top w:val="nil"/>
              <w:left w:val="single" w:sz="8" w:space="0" w:color="auto"/>
              <w:bottom w:val="nil"/>
              <w:right w:val="nil"/>
            </w:tcBorders>
            <w:shd w:val="clear" w:color="auto" w:fill="auto"/>
            <w:noWrap/>
            <w:vAlign w:val="center"/>
            <w:hideMark/>
          </w:tcPr>
          <w:p w14:paraId="0E5A20B0"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May-22</w:t>
            </w:r>
          </w:p>
        </w:tc>
        <w:tc>
          <w:tcPr>
            <w:tcW w:w="1680" w:type="dxa"/>
            <w:tcBorders>
              <w:top w:val="nil"/>
              <w:left w:val="single" w:sz="8" w:space="0" w:color="auto"/>
              <w:bottom w:val="nil"/>
              <w:right w:val="single" w:sz="8" w:space="0" w:color="auto"/>
            </w:tcBorders>
            <w:shd w:val="clear" w:color="auto" w:fill="auto"/>
            <w:noWrap/>
            <w:vAlign w:val="center"/>
            <w:hideMark/>
          </w:tcPr>
          <w:p w14:paraId="32A4A8A0"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90%</w:t>
            </w:r>
          </w:p>
        </w:tc>
        <w:tc>
          <w:tcPr>
            <w:tcW w:w="1580" w:type="dxa"/>
            <w:vMerge/>
            <w:tcBorders>
              <w:top w:val="nil"/>
              <w:left w:val="single" w:sz="8" w:space="0" w:color="auto"/>
              <w:bottom w:val="single" w:sz="8" w:space="0" w:color="000000"/>
              <w:right w:val="single" w:sz="8" w:space="0" w:color="auto"/>
            </w:tcBorders>
            <w:vAlign w:val="center"/>
            <w:hideMark/>
          </w:tcPr>
          <w:p w14:paraId="71E5CDCD" w14:textId="77777777" w:rsidR="00397AC4" w:rsidRPr="00CA5237" w:rsidRDefault="00397AC4" w:rsidP="00397AC4">
            <w:pPr>
              <w:rPr>
                <w:rFonts w:ascii="Arial" w:hAnsi="Arial" w:cs="Arial"/>
                <w:color w:val="000000"/>
                <w:sz w:val="22"/>
                <w:szCs w:val="22"/>
                <w:lang w:eastAsia="en-GB"/>
              </w:rPr>
            </w:pPr>
          </w:p>
        </w:tc>
        <w:tc>
          <w:tcPr>
            <w:tcW w:w="1620" w:type="dxa"/>
            <w:vMerge/>
            <w:tcBorders>
              <w:top w:val="nil"/>
              <w:left w:val="single" w:sz="8" w:space="0" w:color="auto"/>
              <w:bottom w:val="single" w:sz="8" w:space="0" w:color="000000"/>
              <w:right w:val="single" w:sz="8" w:space="0" w:color="auto"/>
            </w:tcBorders>
            <w:vAlign w:val="center"/>
            <w:hideMark/>
          </w:tcPr>
          <w:p w14:paraId="18151CD9" w14:textId="77777777" w:rsidR="00397AC4" w:rsidRPr="00CA5237" w:rsidRDefault="00397AC4" w:rsidP="00397AC4">
            <w:pPr>
              <w:rPr>
                <w:rFonts w:ascii="Arial" w:hAnsi="Arial" w:cs="Arial"/>
                <w:color w:val="000000"/>
                <w:sz w:val="22"/>
                <w:szCs w:val="22"/>
                <w:lang w:eastAsia="en-GB"/>
              </w:rPr>
            </w:pPr>
          </w:p>
        </w:tc>
      </w:tr>
      <w:tr w:rsidR="00397AC4" w:rsidRPr="00CA5237" w14:paraId="09000A1C" w14:textId="77777777" w:rsidTr="00397AC4">
        <w:trPr>
          <w:trHeight w:val="315"/>
        </w:trPr>
        <w:tc>
          <w:tcPr>
            <w:tcW w:w="1060" w:type="dxa"/>
            <w:tcBorders>
              <w:top w:val="nil"/>
              <w:left w:val="single" w:sz="8" w:space="0" w:color="auto"/>
              <w:bottom w:val="single" w:sz="8" w:space="0" w:color="auto"/>
              <w:right w:val="nil"/>
            </w:tcBorders>
            <w:shd w:val="clear" w:color="auto" w:fill="auto"/>
            <w:noWrap/>
            <w:vAlign w:val="center"/>
            <w:hideMark/>
          </w:tcPr>
          <w:p w14:paraId="14C428FA"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Jun-22</w:t>
            </w: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4464AD80"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85%</w:t>
            </w:r>
          </w:p>
        </w:tc>
        <w:tc>
          <w:tcPr>
            <w:tcW w:w="1580" w:type="dxa"/>
            <w:vMerge/>
            <w:tcBorders>
              <w:top w:val="nil"/>
              <w:left w:val="single" w:sz="8" w:space="0" w:color="auto"/>
              <w:bottom w:val="single" w:sz="8" w:space="0" w:color="000000"/>
              <w:right w:val="single" w:sz="8" w:space="0" w:color="auto"/>
            </w:tcBorders>
            <w:vAlign w:val="center"/>
            <w:hideMark/>
          </w:tcPr>
          <w:p w14:paraId="6560E78E" w14:textId="77777777" w:rsidR="00397AC4" w:rsidRPr="00CA5237" w:rsidRDefault="00397AC4" w:rsidP="00397AC4">
            <w:pPr>
              <w:rPr>
                <w:rFonts w:ascii="Arial" w:hAnsi="Arial" w:cs="Arial"/>
                <w:color w:val="000000"/>
                <w:sz w:val="22"/>
                <w:szCs w:val="22"/>
                <w:lang w:eastAsia="en-GB"/>
              </w:rPr>
            </w:pPr>
          </w:p>
        </w:tc>
        <w:tc>
          <w:tcPr>
            <w:tcW w:w="1620" w:type="dxa"/>
            <w:vMerge/>
            <w:tcBorders>
              <w:top w:val="nil"/>
              <w:left w:val="single" w:sz="8" w:space="0" w:color="auto"/>
              <w:bottom w:val="single" w:sz="8" w:space="0" w:color="000000"/>
              <w:right w:val="single" w:sz="8" w:space="0" w:color="auto"/>
            </w:tcBorders>
            <w:vAlign w:val="center"/>
            <w:hideMark/>
          </w:tcPr>
          <w:p w14:paraId="51A02D8B" w14:textId="77777777" w:rsidR="00397AC4" w:rsidRPr="00CA5237" w:rsidRDefault="00397AC4" w:rsidP="00397AC4">
            <w:pPr>
              <w:rPr>
                <w:rFonts w:ascii="Arial" w:hAnsi="Arial" w:cs="Arial"/>
                <w:color w:val="000000"/>
                <w:sz w:val="22"/>
                <w:szCs w:val="22"/>
                <w:lang w:eastAsia="en-GB"/>
              </w:rPr>
            </w:pPr>
          </w:p>
        </w:tc>
      </w:tr>
      <w:tr w:rsidR="00397AC4" w:rsidRPr="00CA5237" w14:paraId="0101932A" w14:textId="77777777" w:rsidTr="00397AC4">
        <w:trPr>
          <w:trHeight w:val="300"/>
        </w:trPr>
        <w:tc>
          <w:tcPr>
            <w:tcW w:w="1060" w:type="dxa"/>
            <w:tcBorders>
              <w:top w:val="nil"/>
              <w:left w:val="single" w:sz="8" w:space="0" w:color="auto"/>
              <w:bottom w:val="nil"/>
              <w:right w:val="nil"/>
            </w:tcBorders>
            <w:shd w:val="clear" w:color="auto" w:fill="auto"/>
            <w:noWrap/>
            <w:vAlign w:val="center"/>
            <w:hideMark/>
          </w:tcPr>
          <w:p w14:paraId="61909B21"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Jul-22</w:t>
            </w:r>
          </w:p>
        </w:tc>
        <w:tc>
          <w:tcPr>
            <w:tcW w:w="1680" w:type="dxa"/>
            <w:tcBorders>
              <w:top w:val="nil"/>
              <w:left w:val="single" w:sz="8" w:space="0" w:color="auto"/>
              <w:bottom w:val="nil"/>
              <w:right w:val="single" w:sz="8" w:space="0" w:color="auto"/>
            </w:tcBorders>
            <w:shd w:val="clear" w:color="auto" w:fill="auto"/>
            <w:noWrap/>
            <w:vAlign w:val="center"/>
            <w:hideMark/>
          </w:tcPr>
          <w:p w14:paraId="039C1B5B"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85%</w:t>
            </w:r>
          </w:p>
        </w:tc>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14:paraId="16D227C9"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Q2</w:t>
            </w:r>
          </w:p>
        </w:tc>
        <w:tc>
          <w:tcPr>
            <w:tcW w:w="16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4D0690"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r>
      <w:tr w:rsidR="00397AC4" w:rsidRPr="00CA5237" w14:paraId="334FDA9F" w14:textId="77777777" w:rsidTr="00397AC4">
        <w:trPr>
          <w:trHeight w:val="300"/>
        </w:trPr>
        <w:tc>
          <w:tcPr>
            <w:tcW w:w="1060" w:type="dxa"/>
            <w:tcBorders>
              <w:top w:val="nil"/>
              <w:left w:val="single" w:sz="8" w:space="0" w:color="auto"/>
              <w:bottom w:val="nil"/>
              <w:right w:val="nil"/>
            </w:tcBorders>
            <w:shd w:val="clear" w:color="auto" w:fill="auto"/>
            <w:noWrap/>
            <w:vAlign w:val="center"/>
            <w:hideMark/>
          </w:tcPr>
          <w:p w14:paraId="3477655C"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Aug-22</w:t>
            </w:r>
          </w:p>
        </w:tc>
        <w:tc>
          <w:tcPr>
            <w:tcW w:w="1680" w:type="dxa"/>
            <w:tcBorders>
              <w:top w:val="nil"/>
              <w:left w:val="single" w:sz="8" w:space="0" w:color="auto"/>
              <w:bottom w:val="nil"/>
              <w:right w:val="single" w:sz="8" w:space="0" w:color="auto"/>
            </w:tcBorders>
            <w:shd w:val="clear" w:color="auto" w:fill="auto"/>
            <w:noWrap/>
            <w:vAlign w:val="center"/>
            <w:hideMark/>
          </w:tcPr>
          <w:p w14:paraId="63784F9D"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80%</w:t>
            </w:r>
          </w:p>
        </w:tc>
        <w:tc>
          <w:tcPr>
            <w:tcW w:w="1580" w:type="dxa"/>
            <w:vMerge/>
            <w:tcBorders>
              <w:top w:val="nil"/>
              <w:left w:val="single" w:sz="8" w:space="0" w:color="auto"/>
              <w:bottom w:val="single" w:sz="8" w:space="0" w:color="000000"/>
              <w:right w:val="single" w:sz="8" w:space="0" w:color="auto"/>
            </w:tcBorders>
            <w:vAlign w:val="center"/>
            <w:hideMark/>
          </w:tcPr>
          <w:p w14:paraId="19933389" w14:textId="77777777" w:rsidR="00397AC4" w:rsidRPr="00CA5237" w:rsidRDefault="00397AC4" w:rsidP="00397AC4">
            <w:pPr>
              <w:rPr>
                <w:rFonts w:ascii="Arial" w:hAnsi="Arial" w:cs="Arial"/>
                <w:color w:val="000000"/>
                <w:sz w:val="22"/>
                <w:szCs w:val="22"/>
                <w:lang w:eastAsia="en-GB"/>
              </w:rPr>
            </w:pPr>
          </w:p>
        </w:tc>
        <w:tc>
          <w:tcPr>
            <w:tcW w:w="1620" w:type="dxa"/>
            <w:vMerge/>
            <w:tcBorders>
              <w:top w:val="nil"/>
              <w:left w:val="single" w:sz="8" w:space="0" w:color="auto"/>
              <w:bottom w:val="single" w:sz="8" w:space="0" w:color="000000"/>
              <w:right w:val="single" w:sz="8" w:space="0" w:color="auto"/>
            </w:tcBorders>
            <w:vAlign w:val="center"/>
            <w:hideMark/>
          </w:tcPr>
          <w:p w14:paraId="3F2CC35F" w14:textId="77777777" w:rsidR="00397AC4" w:rsidRPr="00CA5237" w:rsidRDefault="00397AC4" w:rsidP="00397AC4">
            <w:pPr>
              <w:rPr>
                <w:rFonts w:ascii="Arial" w:hAnsi="Arial" w:cs="Arial"/>
                <w:color w:val="000000"/>
                <w:sz w:val="22"/>
                <w:szCs w:val="22"/>
                <w:lang w:eastAsia="en-GB"/>
              </w:rPr>
            </w:pPr>
          </w:p>
        </w:tc>
      </w:tr>
      <w:tr w:rsidR="00397AC4" w:rsidRPr="00CA5237" w14:paraId="09F772B8" w14:textId="77777777" w:rsidTr="00397AC4">
        <w:trPr>
          <w:trHeight w:val="315"/>
        </w:trPr>
        <w:tc>
          <w:tcPr>
            <w:tcW w:w="1060" w:type="dxa"/>
            <w:tcBorders>
              <w:top w:val="nil"/>
              <w:left w:val="single" w:sz="8" w:space="0" w:color="auto"/>
              <w:bottom w:val="nil"/>
              <w:right w:val="nil"/>
            </w:tcBorders>
            <w:shd w:val="clear" w:color="auto" w:fill="auto"/>
            <w:noWrap/>
            <w:vAlign w:val="center"/>
            <w:hideMark/>
          </w:tcPr>
          <w:p w14:paraId="1982C7B4"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Sep-22</w:t>
            </w:r>
          </w:p>
        </w:tc>
        <w:tc>
          <w:tcPr>
            <w:tcW w:w="1680" w:type="dxa"/>
            <w:tcBorders>
              <w:top w:val="nil"/>
              <w:left w:val="single" w:sz="8" w:space="0" w:color="auto"/>
              <w:bottom w:val="nil"/>
              <w:right w:val="single" w:sz="8" w:space="0" w:color="auto"/>
            </w:tcBorders>
            <w:shd w:val="clear" w:color="auto" w:fill="auto"/>
            <w:noWrap/>
            <w:vAlign w:val="center"/>
            <w:hideMark/>
          </w:tcPr>
          <w:p w14:paraId="4933F1DF"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80%</w:t>
            </w:r>
          </w:p>
        </w:tc>
        <w:tc>
          <w:tcPr>
            <w:tcW w:w="1580" w:type="dxa"/>
            <w:vMerge/>
            <w:tcBorders>
              <w:top w:val="nil"/>
              <w:left w:val="single" w:sz="8" w:space="0" w:color="auto"/>
              <w:bottom w:val="single" w:sz="8" w:space="0" w:color="000000"/>
              <w:right w:val="single" w:sz="8" w:space="0" w:color="auto"/>
            </w:tcBorders>
            <w:vAlign w:val="center"/>
            <w:hideMark/>
          </w:tcPr>
          <w:p w14:paraId="68D2DBAA" w14:textId="77777777" w:rsidR="00397AC4" w:rsidRPr="00CA5237" w:rsidRDefault="00397AC4" w:rsidP="00397AC4">
            <w:pPr>
              <w:rPr>
                <w:rFonts w:ascii="Arial" w:hAnsi="Arial" w:cs="Arial"/>
                <w:color w:val="000000"/>
                <w:sz w:val="22"/>
                <w:szCs w:val="22"/>
                <w:lang w:eastAsia="en-GB"/>
              </w:rPr>
            </w:pPr>
          </w:p>
        </w:tc>
        <w:tc>
          <w:tcPr>
            <w:tcW w:w="1620" w:type="dxa"/>
            <w:vMerge/>
            <w:tcBorders>
              <w:top w:val="nil"/>
              <w:left w:val="single" w:sz="8" w:space="0" w:color="auto"/>
              <w:bottom w:val="single" w:sz="8" w:space="0" w:color="000000"/>
              <w:right w:val="single" w:sz="8" w:space="0" w:color="auto"/>
            </w:tcBorders>
            <w:vAlign w:val="center"/>
            <w:hideMark/>
          </w:tcPr>
          <w:p w14:paraId="7C41F8EC" w14:textId="77777777" w:rsidR="00397AC4" w:rsidRPr="00CA5237" w:rsidRDefault="00397AC4" w:rsidP="00397AC4">
            <w:pPr>
              <w:rPr>
                <w:rFonts w:ascii="Arial" w:hAnsi="Arial" w:cs="Arial"/>
                <w:color w:val="000000"/>
                <w:sz w:val="22"/>
                <w:szCs w:val="22"/>
                <w:lang w:eastAsia="en-GB"/>
              </w:rPr>
            </w:pPr>
          </w:p>
        </w:tc>
      </w:tr>
      <w:tr w:rsidR="00397AC4" w:rsidRPr="00CA5237" w14:paraId="1E8FFB00" w14:textId="77777777" w:rsidTr="00397AC4">
        <w:trPr>
          <w:trHeight w:val="300"/>
        </w:trPr>
        <w:tc>
          <w:tcPr>
            <w:tcW w:w="1060" w:type="dxa"/>
            <w:tcBorders>
              <w:top w:val="single" w:sz="8" w:space="0" w:color="auto"/>
              <w:left w:val="single" w:sz="8" w:space="0" w:color="auto"/>
              <w:bottom w:val="nil"/>
              <w:right w:val="nil"/>
            </w:tcBorders>
            <w:shd w:val="clear" w:color="auto" w:fill="auto"/>
            <w:noWrap/>
            <w:vAlign w:val="center"/>
            <w:hideMark/>
          </w:tcPr>
          <w:p w14:paraId="74F8AF6B"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Oct-22</w:t>
            </w:r>
          </w:p>
        </w:tc>
        <w:tc>
          <w:tcPr>
            <w:tcW w:w="1680" w:type="dxa"/>
            <w:tcBorders>
              <w:top w:val="single" w:sz="8" w:space="0" w:color="auto"/>
              <w:left w:val="single" w:sz="8" w:space="0" w:color="auto"/>
              <w:bottom w:val="nil"/>
              <w:right w:val="single" w:sz="8" w:space="0" w:color="auto"/>
            </w:tcBorders>
            <w:shd w:val="clear" w:color="auto" w:fill="auto"/>
            <w:noWrap/>
            <w:vAlign w:val="center"/>
            <w:hideMark/>
          </w:tcPr>
          <w:p w14:paraId="036E8D04"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75%</w:t>
            </w:r>
          </w:p>
        </w:tc>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14:paraId="432490B8"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Q3</w:t>
            </w:r>
          </w:p>
        </w:tc>
        <w:tc>
          <w:tcPr>
            <w:tcW w:w="16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D0BA82"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r>
      <w:tr w:rsidR="00397AC4" w:rsidRPr="00CA5237" w14:paraId="75B5B85F" w14:textId="77777777" w:rsidTr="00397AC4">
        <w:trPr>
          <w:trHeight w:val="300"/>
        </w:trPr>
        <w:tc>
          <w:tcPr>
            <w:tcW w:w="1060" w:type="dxa"/>
            <w:tcBorders>
              <w:top w:val="nil"/>
              <w:left w:val="single" w:sz="8" w:space="0" w:color="auto"/>
              <w:bottom w:val="nil"/>
              <w:right w:val="nil"/>
            </w:tcBorders>
            <w:shd w:val="clear" w:color="auto" w:fill="auto"/>
            <w:noWrap/>
            <w:vAlign w:val="center"/>
            <w:hideMark/>
          </w:tcPr>
          <w:p w14:paraId="149CE686"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Nov-22</w:t>
            </w:r>
          </w:p>
        </w:tc>
        <w:tc>
          <w:tcPr>
            <w:tcW w:w="1680" w:type="dxa"/>
            <w:tcBorders>
              <w:top w:val="nil"/>
              <w:left w:val="single" w:sz="8" w:space="0" w:color="auto"/>
              <w:bottom w:val="nil"/>
              <w:right w:val="single" w:sz="8" w:space="0" w:color="auto"/>
            </w:tcBorders>
            <w:shd w:val="clear" w:color="auto" w:fill="auto"/>
            <w:noWrap/>
            <w:vAlign w:val="center"/>
            <w:hideMark/>
          </w:tcPr>
          <w:p w14:paraId="62446D02"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75%</w:t>
            </w:r>
          </w:p>
        </w:tc>
        <w:tc>
          <w:tcPr>
            <w:tcW w:w="1580" w:type="dxa"/>
            <w:vMerge/>
            <w:tcBorders>
              <w:top w:val="nil"/>
              <w:left w:val="single" w:sz="8" w:space="0" w:color="auto"/>
              <w:bottom w:val="single" w:sz="8" w:space="0" w:color="000000"/>
              <w:right w:val="single" w:sz="8" w:space="0" w:color="auto"/>
            </w:tcBorders>
            <w:vAlign w:val="center"/>
            <w:hideMark/>
          </w:tcPr>
          <w:p w14:paraId="7616C6C1" w14:textId="77777777" w:rsidR="00397AC4" w:rsidRPr="00CA5237" w:rsidRDefault="00397AC4" w:rsidP="00397AC4">
            <w:pPr>
              <w:rPr>
                <w:rFonts w:ascii="Arial" w:hAnsi="Arial" w:cs="Arial"/>
                <w:color w:val="000000"/>
                <w:sz w:val="22"/>
                <w:szCs w:val="22"/>
                <w:lang w:eastAsia="en-GB"/>
              </w:rPr>
            </w:pPr>
          </w:p>
        </w:tc>
        <w:tc>
          <w:tcPr>
            <w:tcW w:w="1620" w:type="dxa"/>
            <w:vMerge/>
            <w:tcBorders>
              <w:top w:val="nil"/>
              <w:left w:val="single" w:sz="8" w:space="0" w:color="auto"/>
              <w:bottom w:val="single" w:sz="8" w:space="0" w:color="000000"/>
              <w:right w:val="single" w:sz="8" w:space="0" w:color="auto"/>
            </w:tcBorders>
            <w:vAlign w:val="center"/>
            <w:hideMark/>
          </w:tcPr>
          <w:p w14:paraId="62D3E2EE" w14:textId="77777777" w:rsidR="00397AC4" w:rsidRPr="00CA5237" w:rsidRDefault="00397AC4" w:rsidP="00397AC4">
            <w:pPr>
              <w:rPr>
                <w:rFonts w:ascii="Arial" w:hAnsi="Arial" w:cs="Arial"/>
                <w:color w:val="000000"/>
                <w:sz w:val="22"/>
                <w:szCs w:val="22"/>
                <w:lang w:eastAsia="en-GB"/>
              </w:rPr>
            </w:pPr>
          </w:p>
        </w:tc>
      </w:tr>
      <w:tr w:rsidR="00397AC4" w:rsidRPr="00CA5237" w14:paraId="4DB1A223" w14:textId="77777777" w:rsidTr="00397AC4">
        <w:trPr>
          <w:trHeight w:val="315"/>
        </w:trPr>
        <w:tc>
          <w:tcPr>
            <w:tcW w:w="1060" w:type="dxa"/>
            <w:tcBorders>
              <w:top w:val="nil"/>
              <w:left w:val="single" w:sz="8" w:space="0" w:color="auto"/>
              <w:bottom w:val="single" w:sz="8" w:space="0" w:color="auto"/>
              <w:right w:val="nil"/>
            </w:tcBorders>
            <w:shd w:val="clear" w:color="auto" w:fill="auto"/>
            <w:noWrap/>
            <w:vAlign w:val="center"/>
            <w:hideMark/>
          </w:tcPr>
          <w:p w14:paraId="576F14A3"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Dec-22</w:t>
            </w: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5B77A26E"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70%</w:t>
            </w:r>
          </w:p>
        </w:tc>
        <w:tc>
          <w:tcPr>
            <w:tcW w:w="1580" w:type="dxa"/>
            <w:vMerge/>
            <w:tcBorders>
              <w:top w:val="nil"/>
              <w:left w:val="single" w:sz="8" w:space="0" w:color="auto"/>
              <w:bottom w:val="single" w:sz="8" w:space="0" w:color="000000"/>
              <w:right w:val="single" w:sz="8" w:space="0" w:color="auto"/>
            </w:tcBorders>
            <w:vAlign w:val="center"/>
            <w:hideMark/>
          </w:tcPr>
          <w:p w14:paraId="179F4169" w14:textId="77777777" w:rsidR="00397AC4" w:rsidRPr="00CA5237" w:rsidRDefault="00397AC4" w:rsidP="00397AC4">
            <w:pPr>
              <w:rPr>
                <w:rFonts w:ascii="Arial" w:hAnsi="Arial" w:cs="Arial"/>
                <w:color w:val="000000"/>
                <w:sz w:val="22"/>
                <w:szCs w:val="22"/>
                <w:lang w:eastAsia="en-GB"/>
              </w:rPr>
            </w:pPr>
          </w:p>
        </w:tc>
        <w:tc>
          <w:tcPr>
            <w:tcW w:w="1620" w:type="dxa"/>
            <w:vMerge/>
            <w:tcBorders>
              <w:top w:val="nil"/>
              <w:left w:val="single" w:sz="8" w:space="0" w:color="auto"/>
              <w:bottom w:val="single" w:sz="8" w:space="0" w:color="000000"/>
              <w:right w:val="single" w:sz="8" w:space="0" w:color="auto"/>
            </w:tcBorders>
            <w:vAlign w:val="center"/>
            <w:hideMark/>
          </w:tcPr>
          <w:p w14:paraId="539D1EC1" w14:textId="77777777" w:rsidR="00397AC4" w:rsidRPr="00CA5237" w:rsidRDefault="00397AC4" w:rsidP="00397AC4">
            <w:pPr>
              <w:rPr>
                <w:rFonts w:ascii="Arial" w:hAnsi="Arial" w:cs="Arial"/>
                <w:color w:val="000000"/>
                <w:sz w:val="22"/>
                <w:szCs w:val="22"/>
                <w:lang w:eastAsia="en-GB"/>
              </w:rPr>
            </w:pPr>
          </w:p>
        </w:tc>
      </w:tr>
      <w:tr w:rsidR="00397AC4" w:rsidRPr="00CA5237" w14:paraId="0CA31928" w14:textId="77777777" w:rsidTr="00397AC4">
        <w:trPr>
          <w:trHeight w:val="300"/>
        </w:trPr>
        <w:tc>
          <w:tcPr>
            <w:tcW w:w="1060" w:type="dxa"/>
            <w:tcBorders>
              <w:top w:val="nil"/>
              <w:left w:val="single" w:sz="8" w:space="0" w:color="auto"/>
              <w:bottom w:val="nil"/>
              <w:right w:val="nil"/>
            </w:tcBorders>
            <w:shd w:val="clear" w:color="auto" w:fill="auto"/>
            <w:noWrap/>
            <w:vAlign w:val="center"/>
            <w:hideMark/>
          </w:tcPr>
          <w:p w14:paraId="32A5F241"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Jan-23</w:t>
            </w:r>
          </w:p>
        </w:tc>
        <w:tc>
          <w:tcPr>
            <w:tcW w:w="1680" w:type="dxa"/>
            <w:tcBorders>
              <w:top w:val="nil"/>
              <w:left w:val="single" w:sz="8" w:space="0" w:color="auto"/>
              <w:bottom w:val="nil"/>
              <w:right w:val="single" w:sz="8" w:space="0" w:color="auto"/>
            </w:tcBorders>
            <w:shd w:val="clear" w:color="auto" w:fill="auto"/>
            <w:noWrap/>
            <w:vAlign w:val="center"/>
            <w:hideMark/>
          </w:tcPr>
          <w:p w14:paraId="234B83C7"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70%</w:t>
            </w:r>
          </w:p>
        </w:tc>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14:paraId="230B2CCE"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Q4</w:t>
            </w:r>
          </w:p>
        </w:tc>
        <w:tc>
          <w:tcPr>
            <w:tcW w:w="16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C2A78F"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r>
      <w:tr w:rsidR="00397AC4" w:rsidRPr="00CA5237" w14:paraId="5CF5B97A" w14:textId="77777777" w:rsidTr="00397AC4">
        <w:trPr>
          <w:trHeight w:val="300"/>
        </w:trPr>
        <w:tc>
          <w:tcPr>
            <w:tcW w:w="1060" w:type="dxa"/>
            <w:tcBorders>
              <w:top w:val="nil"/>
              <w:left w:val="single" w:sz="8" w:space="0" w:color="auto"/>
              <w:bottom w:val="nil"/>
              <w:right w:val="nil"/>
            </w:tcBorders>
            <w:shd w:val="clear" w:color="auto" w:fill="auto"/>
            <w:noWrap/>
            <w:vAlign w:val="center"/>
            <w:hideMark/>
          </w:tcPr>
          <w:p w14:paraId="6808BEEA"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Feb-23</w:t>
            </w:r>
          </w:p>
        </w:tc>
        <w:tc>
          <w:tcPr>
            <w:tcW w:w="1680" w:type="dxa"/>
            <w:tcBorders>
              <w:top w:val="nil"/>
              <w:left w:val="single" w:sz="8" w:space="0" w:color="auto"/>
              <w:bottom w:val="nil"/>
              <w:right w:val="single" w:sz="8" w:space="0" w:color="auto"/>
            </w:tcBorders>
            <w:shd w:val="clear" w:color="auto" w:fill="auto"/>
            <w:noWrap/>
            <w:vAlign w:val="center"/>
            <w:hideMark/>
          </w:tcPr>
          <w:p w14:paraId="3290F75E"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65%</w:t>
            </w:r>
          </w:p>
        </w:tc>
        <w:tc>
          <w:tcPr>
            <w:tcW w:w="1580" w:type="dxa"/>
            <w:vMerge/>
            <w:tcBorders>
              <w:top w:val="nil"/>
              <w:left w:val="single" w:sz="8" w:space="0" w:color="auto"/>
              <w:bottom w:val="single" w:sz="8" w:space="0" w:color="000000"/>
              <w:right w:val="single" w:sz="8" w:space="0" w:color="auto"/>
            </w:tcBorders>
            <w:vAlign w:val="center"/>
            <w:hideMark/>
          </w:tcPr>
          <w:p w14:paraId="7E6E9B40" w14:textId="77777777" w:rsidR="00397AC4" w:rsidRPr="00CA5237" w:rsidRDefault="00397AC4" w:rsidP="00397AC4">
            <w:pPr>
              <w:rPr>
                <w:rFonts w:ascii="Arial" w:hAnsi="Arial" w:cs="Arial"/>
                <w:color w:val="000000"/>
                <w:sz w:val="22"/>
                <w:szCs w:val="22"/>
                <w:lang w:eastAsia="en-GB"/>
              </w:rPr>
            </w:pPr>
          </w:p>
        </w:tc>
        <w:tc>
          <w:tcPr>
            <w:tcW w:w="1620" w:type="dxa"/>
            <w:vMerge/>
            <w:tcBorders>
              <w:top w:val="nil"/>
              <w:left w:val="single" w:sz="8" w:space="0" w:color="auto"/>
              <w:bottom w:val="single" w:sz="8" w:space="0" w:color="000000"/>
              <w:right w:val="single" w:sz="8" w:space="0" w:color="auto"/>
            </w:tcBorders>
            <w:vAlign w:val="center"/>
            <w:hideMark/>
          </w:tcPr>
          <w:p w14:paraId="7446D8BD" w14:textId="77777777" w:rsidR="00397AC4" w:rsidRPr="00CA5237" w:rsidRDefault="00397AC4" w:rsidP="00397AC4">
            <w:pPr>
              <w:rPr>
                <w:rFonts w:ascii="Arial" w:hAnsi="Arial" w:cs="Arial"/>
                <w:color w:val="000000"/>
                <w:sz w:val="22"/>
                <w:szCs w:val="22"/>
                <w:lang w:eastAsia="en-GB"/>
              </w:rPr>
            </w:pPr>
          </w:p>
        </w:tc>
      </w:tr>
      <w:tr w:rsidR="00397AC4" w:rsidRPr="00CA5237" w14:paraId="570D44AD" w14:textId="77777777" w:rsidTr="00397AC4">
        <w:trPr>
          <w:trHeight w:val="315"/>
        </w:trPr>
        <w:tc>
          <w:tcPr>
            <w:tcW w:w="1060" w:type="dxa"/>
            <w:tcBorders>
              <w:top w:val="nil"/>
              <w:left w:val="single" w:sz="8" w:space="0" w:color="auto"/>
              <w:bottom w:val="single" w:sz="8" w:space="0" w:color="auto"/>
              <w:right w:val="nil"/>
            </w:tcBorders>
            <w:shd w:val="clear" w:color="auto" w:fill="auto"/>
            <w:noWrap/>
            <w:vAlign w:val="center"/>
            <w:hideMark/>
          </w:tcPr>
          <w:p w14:paraId="59D97009" w14:textId="77777777" w:rsidR="00397AC4" w:rsidRPr="00CA5237" w:rsidRDefault="00397AC4" w:rsidP="00397AC4">
            <w:pPr>
              <w:rPr>
                <w:rFonts w:ascii="Arial" w:hAnsi="Arial" w:cs="Arial"/>
                <w:color w:val="000000"/>
                <w:sz w:val="22"/>
                <w:szCs w:val="22"/>
                <w:lang w:eastAsia="en-GB"/>
              </w:rPr>
            </w:pPr>
            <w:r w:rsidRPr="00CA5237">
              <w:rPr>
                <w:rFonts w:ascii="Arial" w:hAnsi="Arial" w:cs="Arial"/>
                <w:color w:val="000000"/>
                <w:sz w:val="22"/>
                <w:szCs w:val="22"/>
                <w:lang w:eastAsia="en-GB"/>
              </w:rPr>
              <w:t>Mar-23</w:t>
            </w: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14:paraId="05ABE6A2" w14:textId="77777777" w:rsidR="00397AC4" w:rsidRPr="00CA5237" w:rsidRDefault="00397AC4" w:rsidP="00397AC4">
            <w:pPr>
              <w:jc w:val="center"/>
              <w:rPr>
                <w:rFonts w:ascii="Arial" w:hAnsi="Arial" w:cs="Arial"/>
                <w:color w:val="000000"/>
                <w:sz w:val="22"/>
                <w:szCs w:val="22"/>
                <w:lang w:eastAsia="en-GB"/>
              </w:rPr>
            </w:pPr>
            <w:r w:rsidRPr="00CA5237">
              <w:rPr>
                <w:rFonts w:ascii="Arial" w:hAnsi="Arial" w:cs="Arial"/>
                <w:color w:val="000000"/>
                <w:sz w:val="22"/>
                <w:szCs w:val="22"/>
                <w:lang w:eastAsia="en-GB"/>
              </w:rPr>
              <w:t>65%</w:t>
            </w:r>
          </w:p>
        </w:tc>
        <w:tc>
          <w:tcPr>
            <w:tcW w:w="1580" w:type="dxa"/>
            <w:vMerge/>
            <w:tcBorders>
              <w:top w:val="nil"/>
              <w:left w:val="single" w:sz="8" w:space="0" w:color="auto"/>
              <w:bottom w:val="single" w:sz="8" w:space="0" w:color="000000"/>
              <w:right w:val="single" w:sz="8" w:space="0" w:color="auto"/>
            </w:tcBorders>
            <w:vAlign w:val="center"/>
            <w:hideMark/>
          </w:tcPr>
          <w:p w14:paraId="2EBB94C4" w14:textId="77777777" w:rsidR="00397AC4" w:rsidRPr="00CA5237" w:rsidRDefault="00397AC4" w:rsidP="00397AC4">
            <w:pPr>
              <w:rPr>
                <w:rFonts w:ascii="Arial" w:hAnsi="Arial" w:cs="Arial"/>
                <w:color w:val="000000"/>
                <w:sz w:val="22"/>
                <w:szCs w:val="22"/>
                <w:lang w:eastAsia="en-GB"/>
              </w:rPr>
            </w:pPr>
          </w:p>
        </w:tc>
        <w:tc>
          <w:tcPr>
            <w:tcW w:w="1620" w:type="dxa"/>
            <w:vMerge/>
            <w:tcBorders>
              <w:top w:val="nil"/>
              <w:left w:val="single" w:sz="8" w:space="0" w:color="auto"/>
              <w:bottom w:val="single" w:sz="8" w:space="0" w:color="000000"/>
              <w:right w:val="single" w:sz="8" w:space="0" w:color="auto"/>
            </w:tcBorders>
            <w:vAlign w:val="center"/>
            <w:hideMark/>
          </w:tcPr>
          <w:p w14:paraId="6D46FAB8" w14:textId="77777777" w:rsidR="00397AC4" w:rsidRPr="00CA5237" w:rsidRDefault="00397AC4" w:rsidP="00397AC4">
            <w:pPr>
              <w:rPr>
                <w:rFonts w:ascii="Arial" w:hAnsi="Arial" w:cs="Arial"/>
                <w:color w:val="000000"/>
                <w:sz w:val="22"/>
                <w:szCs w:val="22"/>
                <w:lang w:eastAsia="en-GB"/>
              </w:rPr>
            </w:pPr>
          </w:p>
        </w:tc>
      </w:tr>
    </w:tbl>
    <w:p w14:paraId="40ADB057" w14:textId="77777777" w:rsidR="00397AC4" w:rsidRPr="00CA5237" w:rsidRDefault="00397AC4" w:rsidP="00DA43D8">
      <w:pPr>
        <w:rPr>
          <w:rFonts w:ascii="Arial" w:hAnsi="Arial" w:cs="Arial"/>
          <w:sz w:val="22"/>
          <w:szCs w:val="22"/>
        </w:rPr>
      </w:pPr>
    </w:p>
    <w:p w14:paraId="56711629" w14:textId="4B6C0726" w:rsidR="0091051C" w:rsidRPr="00CA5237" w:rsidRDefault="0091051C" w:rsidP="00DA43D8">
      <w:pPr>
        <w:rPr>
          <w:rFonts w:ascii="Arial" w:hAnsi="Arial" w:cs="Arial"/>
          <w:sz w:val="22"/>
          <w:szCs w:val="22"/>
        </w:rPr>
      </w:pPr>
    </w:p>
    <w:p w14:paraId="0A5B17FF" w14:textId="77777777" w:rsidR="0091051C" w:rsidRPr="00CA5237" w:rsidRDefault="0091051C" w:rsidP="00DA43D8">
      <w:pPr>
        <w:rPr>
          <w:rFonts w:ascii="Arial" w:hAnsi="Arial" w:cs="Arial"/>
          <w:sz w:val="22"/>
          <w:szCs w:val="22"/>
        </w:rPr>
      </w:pPr>
    </w:p>
    <w:p w14:paraId="08DB43A0" w14:textId="3A81A149" w:rsidR="00EB2C24" w:rsidRPr="00CA5237" w:rsidRDefault="00382783" w:rsidP="00DA43D8">
      <w:pPr>
        <w:rPr>
          <w:rFonts w:ascii="Arial" w:hAnsi="Arial" w:cs="Arial"/>
          <w:sz w:val="22"/>
          <w:szCs w:val="22"/>
        </w:rPr>
      </w:pPr>
      <w:r w:rsidRPr="00CA5237">
        <w:rPr>
          <w:rFonts w:ascii="Arial" w:hAnsi="Arial" w:cs="Arial"/>
          <w:sz w:val="22"/>
          <w:szCs w:val="22"/>
        </w:rPr>
        <w:t xml:space="preserve">Further to the phased quarterly reduction, London Councils will continue to apply the service level offered on each of the quarterly period in comparison with the pre-covid service level. </w:t>
      </w:r>
      <w:r w:rsidR="00E301F4" w:rsidRPr="00CA5237">
        <w:rPr>
          <w:rFonts w:ascii="Arial" w:hAnsi="Arial" w:cs="Arial"/>
          <w:sz w:val="22"/>
          <w:szCs w:val="22"/>
        </w:rPr>
        <w:t>The proportion applied to the pre-Covid 19 reimbursement will be the lowest of the two; current service level and DFT scale (figures highlighted in yellow)</w:t>
      </w:r>
    </w:p>
    <w:p w14:paraId="1A153EAB" w14:textId="755EC444" w:rsidR="00E301F4" w:rsidRPr="00CA5237" w:rsidRDefault="00E301F4" w:rsidP="00DA43D8">
      <w:pPr>
        <w:rPr>
          <w:rFonts w:ascii="Arial" w:hAnsi="Arial" w:cs="Arial"/>
          <w:sz w:val="22"/>
          <w:szCs w:val="22"/>
        </w:rPr>
      </w:pPr>
      <w:r w:rsidRPr="00CA5237">
        <w:rPr>
          <w:rFonts w:ascii="Arial" w:hAnsi="Arial" w:cs="Arial"/>
          <w:sz w:val="22"/>
          <w:szCs w:val="22"/>
        </w:rPr>
        <w:t xml:space="preserve">However, if the actual is higher than the amount resulting from the figures in yellow, the max reimbursement will be paid </w:t>
      </w:r>
    </w:p>
    <w:p w14:paraId="6B8A6D14" w14:textId="388792ED" w:rsidR="003B42C7" w:rsidRPr="00CA5237" w:rsidRDefault="003B42C7" w:rsidP="00DA43D8">
      <w:pPr>
        <w:rPr>
          <w:rFonts w:ascii="Arial" w:hAnsi="Arial" w:cs="Arial"/>
          <w:sz w:val="22"/>
          <w:szCs w:val="22"/>
        </w:rPr>
      </w:pPr>
    </w:p>
    <w:p w14:paraId="441C4EE9" w14:textId="0D0C1F0F" w:rsidR="003B42C7" w:rsidRPr="00CA5237" w:rsidRDefault="003B42C7" w:rsidP="00DA43D8">
      <w:pPr>
        <w:rPr>
          <w:rFonts w:ascii="Arial" w:hAnsi="Arial" w:cs="Arial"/>
          <w:sz w:val="22"/>
          <w:szCs w:val="22"/>
        </w:rPr>
      </w:pPr>
    </w:p>
    <w:p w14:paraId="251030D5" w14:textId="266DB3DA" w:rsidR="002A50D3" w:rsidRDefault="002A50D3">
      <w:pPr>
        <w:rPr>
          <w:rFonts w:ascii="Arial" w:hAnsi="Arial" w:cs="Arial"/>
          <w:sz w:val="22"/>
          <w:szCs w:val="22"/>
        </w:rPr>
      </w:pPr>
      <w:r>
        <w:rPr>
          <w:rFonts w:ascii="Arial" w:hAnsi="Arial" w:cs="Arial"/>
          <w:sz w:val="22"/>
          <w:szCs w:val="22"/>
        </w:rPr>
        <w:br w:type="page"/>
      </w:r>
    </w:p>
    <w:p w14:paraId="5999667E" w14:textId="77777777" w:rsidR="003B42C7" w:rsidRPr="00CA5237" w:rsidRDefault="003B42C7" w:rsidP="00DA43D8">
      <w:pPr>
        <w:rPr>
          <w:rFonts w:ascii="Arial" w:hAnsi="Arial" w:cs="Arial"/>
          <w:sz w:val="22"/>
          <w:szCs w:val="22"/>
        </w:rPr>
      </w:pPr>
    </w:p>
    <w:tbl>
      <w:tblPr>
        <w:tblW w:w="9719" w:type="dxa"/>
        <w:tblLook w:val="04A0" w:firstRow="1" w:lastRow="0" w:firstColumn="1" w:lastColumn="0" w:noHBand="0" w:noVBand="1"/>
      </w:tblPr>
      <w:tblGrid>
        <w:gridCol w:w="2548"/>
        <w:gridCol w:w="1136"/>
        <w:gridCol w:w="1268"/>
        <w:gridCol w:w="1060"/>
        <w:gridCol w:w="963"/>
        <w:gridCol w:w="963"/>
        <w:gridCol w:w="963"/>
        <w:gridCol w:w="1060"/>
      </w:tblGrid>
      <w:tr w:rsidR="003B42C7" w:rsidRPr="00CA5237" w14:paraId="116B6484" w14:textId="77777777" w:rsidTr="003B42C7">
        <w:trPr>
          <w:trHeight w:val="315"/>
        </w:trPr>
        <w:tc>
          <w:tcPr>
            <w:tcW w:w="2548" w:type="dxa"/>
            <w:tcBorders>
              <w:top w:val="single" w:sz="8" w:space="0" w:color="auto"/>
              <w:left w:val="single" w:sz="8" w:space="0" w:color="auto"/>
              <w:bottom w:val="nil"/>
              <w:right w:val="nil"/>
            </w:tcBorders>
            <w:shd w:val="clear" w:color="auto" w:fill="auto"/>
            <w:noWrap/>
            <w:vAlign w:val="bottom"/>
            <w:hideMark/>
          </w:tcPr>
          <w:p w14:paraId="51681A2E" w14:textId="77777777" w:rsidR="003B42C7" w:rsidRPr="00CA5237" w:rsidRDefault="003B42C7" w:rsidP="003B42C7">
            <w:pPr>
              <w:rPr>
                <w:rFonts w:ascii="Arial" w:hAnsi="Arial" w:cs="Arial"/>
                <w:color w:val="000000"/>
                <w:sz w:val="22"/>
                <w:szCs w:val="22"/>
                <w:lang w:eastAsia="en-GB"/>
              </w:rPr>
            </w:pPr>
            <w:r w:rsidRPr="00CA5237">
              <w:rPr>
                <w:rFonts w:ascii="Arial" w:hAnsi="Arial" w:cs="Arial"/>
                <w:color w:val="000000"/>
                <w:sz w:val="22"/>
                <w:szCs w:val="22"/>
                <w:lang w:eastAsia="en-GB"/>
              </w:rPr>
              <w:t> </w:t>
            </w:r>
          </w:p>
        </w:tc>
        <w:tc>
          <w:tcPr>
            <w:tcW w:w="1136" w:type="dxa"/>
            <w:tcBorders>
              <w:top w:val="single" w:sz="8" w:space="0" w:color="auto"/>
              <w:left w:val="nil"/>
              <w:bottom w:val="nil"/>
              <w:right w:val="nil"/>
            </w:tcBorders>
            <w:shd w:val="clear" w:color="auto" w:fill="auto"/>
            <w:noWrap/>
            <w:vAlign w:val="bottom"/>
            <w:hideMark/>
          </w:tcPr>
          <w:p w14:paraId="21C140BD" w14:textId="77777777" w:rsidR="003B42C7" w:rsidRPr="00CA5237" w:rsidRDefault="003B42C7" w:rsidP="003B42C7">
            <w:pPr>
              <w:rPr>
                <w:rFonts w:ascii="Arial" w:hAnsi="Arial" w:cs="Arial"/>
                <w:color w:val="000000"/>
                <w:sz w:val="22"/>
                <w:szCs w:val="22"/>
                <w:lang w:eastAsia="en-GB"/>
              </w:rPr>
            </w:pPr>
            <w:r w:rsidRPr="00CA5237">
              <w:rPr>
                <w:rFonts w:ascii="Arial" w:hAnsi="Arial" w:cs="Arial"/>
                <w:color w:val="000000"/>
                <w:sz w:val="22"/>
                <w:szCs w:val="22"/>
                <w:lang w:eastAsia="en-GB"/>
              </w:rPr>
              <w:t> </w:t>
            </w:r>
          </w:p>
        </w:tc>
        <w:tc>
          <w:tcPr>
            <w:tcW w:w="1268" w:type="dxa"/>
            <w:tcBorders>
              <w:top w:val="single" w:sz="8" w:space="0" w:color="auto"/>
              <w:left w:val="nil"/>
              <w:bottom w:val="nil"/>
              <w:right w:val="nil"/>
            </w:tcBorders>
            <w:shd w:val="clear" w:color="auto" w:fill="auto"/>
            <w:noWrap/>
            <w:vAlign w:val="bottom"/>
            <w:hideMark/>
          </w:tcPr>
          <w:p w14:paraId="0DDD46F7" w14:textId="77777777" w:rsidR="003B42C7" w:rsidRPr="00CA5237" w:rsidRDefault="003B42C7" w:rsidP="003B42C7">
            <w:pPr>
              <w:rPr>
                <w:rFonts w:ascii="Arial" w:hAnsi="Arial" w:cs="Arial"/>
                <w:color w:val="000000"/>
                <w:sz w:val="22"/>
                <w:szCs w:val="22"/>
                <w:lang w:eastAsia="en-GB"/>
              </w:rPr>
            </w:pPr>
            <w:r w:rsidRPr="00CA5237">
              <w:rPr>
                <w:rFonts w:ascii="Arial" w:hAnsi="Arial" w:cs="Arial"/>
                <w:color w:val="000000"/>
                <w:sz w:val="22"/>
                <w:szCs w:val="22"/>
                <w:lang w:eastAsia="en-GB"/>
              </w:rPr>
              <w:t> </w:t>
            </w:r>
          </w:p>
        </w:tc>
        <w:tc>
          <w:tcPr>
            <w:tcW w:w="3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CF81CF6" w14:textId="39309B15" w:rsidR="003B42C7" w:rsidRPr="00CA5237" w:rsidRDefault="00E301F4"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 xml:space="preserve">DFT proportion of the scale down from </w:t>
            </w:r>
            <w:r w:rsidR="003B42C7" w:rsidRPr="00CA5237">
              <w:rPr>
                <w:rFonts w:ascii="Arial" w:hAnsi="Arial" w:cs="Arial"/>
                <w:b/>
                <w:bCs/>
                <w:color w:val="000000"/>
                <w:sz w:val="22"/>
                <w:szCs w:val="22"/>
                <w:lang w:eastAsia="en-GB"/>
              </w:rPr>
              <w:t>Apr-22</w:t>
            </w:r>
          </w:p>
        </w:tc>
        <w:tc>
          <w:tcPr>
            <w:tcW w:w="967" w:type="dxa"/>
            <w:tcBorders>
              <w:top w:val="single" w:sz="8" w:space="0" w:color="auto"/>
              <w:left w:val="nil"/>
              <w:bottom w:val="nil"/>
              <w:right w:val="single" w:sz="8" w:space="0" w:color="auto"/>
            </w:tcBorders>
            <w:shd w:val="clear" w:color="auto" w:fill="auto"/>
            <w:noWrap/>
            <w:vAlign w:val="bottom"/>
            <w:hideMark/>
          </w:tcPr>
          <w:p w14:paraId="557C0227" w14:textId="77777777" w:rsidR="003B42C7" w:rsidRPr="00CA5237" w:rsidRDefault="003B42C7" w:rsidP="003B42C7">
            <w:pPr>
              <w:rPr>
                <w:rFonts w:ascii="Arial" w:hAnsi="Arial" w:cs="Arial"/>
                <w:color w:val="000000"/>
                <w:sz w:val="22"/>
                <w:szCs w:val="22"/>
                <w:lang w:eastAsia="en-GB"/>
              </w:rPr>
            </w:pPr>
            <w:r w:rsidRPr="00CA5237">
              <w:rPr>
                <w:rFonts w:ascii="Arial" w:hAnsi="Arial" w:cs="Arial"/>
                <w:color w:val="000000"/>
                <w:sz w:val="22"/>
                <w:szCs w:val="22"/>
                <w:lang w:eastAsia="en-GB"/>
              </w:rPr>
              <w:t> </w:t>
            </w:r>
          </w:p>
        </w:tc>
      </w:tr>
      <w:tr w:rsidR="003B42C7" w:rsidRPr="00CA5237" w14:paraId="140E397C" w14:textId="77777777" w:rsidTr="003B42C7">
        <w:trPr>
          <w:trHeight w:val="315"/>
        </w:trPr>
        <w:tc>
          <w:tcPr>
            <w:tcW w:w="2548" w:type="dxa"/>
            <w:tcBorders>
              <w:top w:val="nil"/>
              <w:left w:val="single" w:sz="8" w:space="0" w:color="auto"/>
              <w:bottom w:val="nil"/>
              <w:right w:val="nil"/>
            </w:tcBorders>
            <w:shd w:val="clear" w:color="auto" w:fill="auto"/>
            <w:noWrap/>
            <w:vAlign w:val="center"/>
            <w:hideMark/>
          </w:tcPr>
          <w:p w14:paraId="5FFBE754"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 </w:t>
            </w:r>
          </w:p>
        </w:tc>
        <w:tc>
          <w:tcPr>
            <w:tcW w:w="1136" w:type="dxa"/>
            <w:tcBorders>
              <w:top w:val="nil"/>
              <w:left w:val="nil"/>
              <w:bottom w:val="nil"/>
              <w:right w:val="nil"/>
            </w:tcBorders>
            <w:shd w:val="clear" w:color="auto" w:fill="auto"/>
            <w:noWrap/>
            <w:vAlign w:val="center"/>
            <w:hideMark/>
          </w:tcPr>
          <w:p w14:paraId="5DE67760" w14:textId="77777777" w:rsidR="003B42C7" w:rsidRPr="00CA5237" w:rsidRDefault="003B42C7" w:rsidP="003B42C7">
            <w:pPr>
              <w:jc w:val="center"/>
              <w:rPr>
                <w:rFonts w:ascii="Arial" w:hAnsi="Arial" w:cs="Arial"/>
                <w:color w:val="000000"/>
                <w:sz w:val="22"/>
                <w:szCs w:val="22"/>
                <w:lang w:eastAsia="en-GB"/>
              </w:rPr>
            </w:pPr>
          </w:p>
        </w:tc>
        <w:tc>
          <w:tcPr>
            <w:tcW w:w="1268" w:type="dxa"/>
            <w:tcBorders>
              <w:top w:val="nil"/>
              <w:left w:val="nil"/>
              <w:bottom w:val="nil"/>
              <w:right w:val="nil"/>
            </w:tcBorders>
            <w:shd w:val="clear" w:color="auto" w:fill="auto"/>
            <w:noWrap/>
            <w:vAlign w:val="center"/>
            <w:hideMark/>
          </w:tcPr>
          <w:p w14:paraId="6D7E935C" w14:textId="77777777" w:rsidR="003B42C7" w:rsidRPr="00CA5237" w:rsidRDefault="003B42C7" w:rsidP="003B42C7">
            <w:pPr>
              <w:jc w:val="center"/>
              <w:rPr>
                <w:rFonts w:ascii="Arial" w:hAnsi="Arial" w:cs="Arial"/>
                <w:sz w:val="22"/>
                <w:szCs w:val="22"/>
                <w:lang w:eastAsia="en-GB"/>
              </w:rPr>
            </w:pPr>
          </w:p>
        </w:tc>
        <w:tc>
          <w:tcPr>
            <w:tcW w:w="1060" w:type="dxa"/>
            <w:tcBorders>
              <w:top w:val="nil"/>
              <w:left w:val="single" w:sz="8" w:space="0" w:color="auto"/>
              <w:bottom w:val="single" w:sz="8" w:space="0" w:color="auto"/>
              <w:right w:val="single" w:sz="8" w:space="0" w:color="auto"/>
            </w:tcBorders>
            <w:shd w:val="clear" w:color="auto" w:fill="auto"/>
            <w:vAlign w:val="center"/>
            <w:hideMark/>
          </w:tcPr>
          <w:p w14:paraId="2BE8296F" w14:textId="77777777" w:rsidR="003B42C7" w:rsidRPr="00CA5237" w:rsidRDefault="003B42C7"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Q1</w:t>
            </w:r>
          </w:p>
        </w:tc>
        <w:tc>
          <w:tcPr>
            <w:tcW w:w="880" w:type="dxa"/>
            <w:tcBorders>
              <w:top w:val="nil"/>
              <w:left w:val="nil"/>
              <w:bottom w:val="single" w:sz="8" w:space="0" w:color="auto"/>
              <w:right w:val="single" w:sz="8" w:space="0" w:color="auto"/>
            </w:tcBorders>
            <w:shd w:val="clear" w:color="auto" w:fill="auto"/>
            <w:vAlign w:val="center"/>
            <w:hideMark/>
          </w:tcPr>
          <w:p w14:paraId="048A484A" w14:textId="77777777" w:rsidR="003B42C7" w:rsidRPr="00CA5237" w:rsidRDefault="003B42C7"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Q2</w:t>
            </w:r>
          </w:p>
        </w:tc>
        <w:tc>
          <w:tcPr>
            <w:tcW w:w="900" w:type="dxa"/>
            <w:tcBorders>
              <w:top w:val="nil"/>
              <w:left w:val="nil"/>
              <w:bottom w:val="single" w:sz="8" w:space="0" w:color="auto"/>
              <w:right w:val="single" w:sz="8" w:space="0" w:color="auto"/>
            </w:tcBorders>
            <w:shd w:val="clear" w:color="auto" w:fill="auto"/>
            <w:vAlign w:val="center"/>
            <w:hideMark/>
          </w:tcPr>
          <w:p w14:paraId="480404DE" w14:textId="77777777" w:rsidR="003B42C7" w:rsidRPr="00CA5237" w:rsidRDefault="003B42C7"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Q3</w:t>
            </w:r>
          </w:p>
        </w:tc>
        <w:tc>
          <w:tcPr>
            <w:tcW w:w="960" w:type="dxa"/>
            <w:tcBorders>
              <w:top w:val="nil"/>
              <w:left w:val="nil"/>
              <w:bottom w:val="single" w:sz="8" w:space="0" w:color="auto"/>
              <w:right w:val="single" w:sz="8" w:space="0" w:color="auto"/>
            </w:tcBorders>
            <w:shd w:val="clear" w:color="auto" w:fill="auto"/>
            <w:vAlign w:val="center"/>
            <w:hideMark/>
          </w:tcPr>
          <w:p w14:paraId="5D3B8526" w14:textId="77777777" w:rsidR="003B42C7" w:rsidRPr="00CA5237" w:rsidRDefault="003B42C7"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Q4</w:t>
            </w:r>
          </w:p>
        </w:tc>
        <w:tc>
          <w:tcPr>
            <w:tcW w:w="967" w:type="dxa"/>
            <w:tcBorders>
              <w:top w:val="nil"/>
              <w:left w:val="nil"/>
              <w:bottom w:val="nil"/>
              <w:right w:val="single" w:sz="8" w:space="0" w:color="auto"/>
            </w:tcBorders>
            <w:shd w:val="clear" w:color="auto" w:fill="auto"/>
            <w:noWrap/>
            <w:vAlign w:val="bottom"/>
            <w:hideMark/>
          </w:tcPr>
          <w:p w14:paraId="4F6FEE1A" w14:textId="77777777" w:rsidR="003B42C7" w:rsidRPr="00CA5237" w:rsidRDefault="003B42C7" w:rsidP="003B42C7">
            <w:pPr>
              <w:rPr>
                <w:rFonts w:ascii="Arial" w:hAnsi="Arial" w:cs="Arial"/>
                <w:color w:val="000000"/>
                <w:sz w:val="22"/>
                <w:szCs w:val="22"/>
                <w:lang w:eastAsia="en-GB"/>
              </w:rPr>
            </w:pPr>
            <w:r w:rsidRPr="00CA5237">
              <w:rPr>
                <w:rFonts w:ascii="Arial" w:hAnsi="Arial" w:cs="Arial"/>
                <w:color w:val="000000"/>
                <w:sz w:val="22"/>
                <w:szCs w:val="22"/>
                <w:lang w:eastAsia="en-GB"/>
              </w:rPr>
              <w:t> </w:t>
            </w:r>
          </w:p>
        </w:tc>
      </w:tr>
      <w:tr w:rsidR="003B42C7" w:rsidRPr="00CA5237" w14:paraId="64543C68" w14:textId="77777777" w:rsidTr="003B42C7">
        <w:trPr>
          <w:trHeight w:val="525"/>
        </w:trPr>
        <w:tc>
          <w:tcPr>
            <w:tcW w:w="2548" w:type="dxa"/>
            <w:tcBorders>
              <w:top w:val="single" w:sz="8" w:space="0" w:color="auto"/>
              <w:left w:val="single" w:sz="8" w:space="0" w:color="auto"/>
              <w:bottom w:val="nil"/>
              <w:right w:val="single" w:sz="8" w:space="0" w:color="auto"/>
            </w:tcBorders>
            <w:shd w:val="clear" w:color="000000" w:fill="BFBFBF"/>
            <w:vAlign w:val="center"/>
            <w:hideMark/>
          </w:tcPr>
          <w:p w14:paraId="00BFFBF4"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Bus Operator</w:t>
            </w:r>
          </w:p>
        </w:tc>
        <w:tc>
          <w:tcPr>
            <w:tcW w:w="1136" w:type="dxa"/>
            <w:tcBorders>
              <w:top w:val="single" w:sz="8" w:space="0" w:color="auto"/>
              <w:left w:val="nil"/>
              <w:bottom w:val="single" w:sz="8" w:space="0" w:color="auto"/>
              <w:right w:val="nil"/>
            </w:tcBorders>
            <w:shd w:val="clear" w:color="000000" w:fill="BFBFBF"/>
            <w:vAlign w:val="center"/>
            <w:hideMark/>
          </w:tcPr>
          <w:p w14:paraId="60317211" w14:textId="77777777" w:rsidR="003B42C7" w:rsidRPr="00CA5237" w:rsidRDefault="003B42C7"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 xml:space="preserve">Q1 applied % </w:t>
            </w:r>
          </w:p>
        </w:tc>
        <w:tc>
          <w:tcPr>
            <w:tcW w:w="1268"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3F1D961" w14:textId="77777777" w:rsidR="003B42C7" w:rsidRPr="00CA5237" w:rsidRDefault="003B42C7"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Q2 applied %</w:t>
            </w:r>
          </w:p>
        </w:tc>
        <w:tc>
          <w:tcPr>
            <w:tcW w:w="1060" w:type="dxa"/>
            <w:tcBorders>
              <w:top w:val="nil"/>
              <w:left w:val="nil"/>
              <w:bottom w:val="single" w:sz="8" w:space="0" w:color="auto"/>
              <w:right w:val="single" w:sz="8" w:space="0" w:color="auto"/>
            </w:tcBorders>
            <w:shd w:val="clear" w:color="000000" w:fill="BFBFBF"/>
            <w:vAlign w:val="center"/>
            <w:hideMark/>
          </w:tcPr>
          <w:p w14:paraId="502D566C" w14:textId="77777777" w:rsidR="003B42C7" w:rsidRPr="00CA5237" w:rsidRDefault="003B42C7"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88.33%</w:t>
            </w:r>
          </w:p>
        </w:tc>
        <w:tc>
          <w:tcPr>
            <w:tcW w:w="880" w:type="dxa"/>
            <w:tcBorders>
              <w:top w:val="nil"/>
              <w:left w:val="nil"/>
              <w:bottom w:val="single" w:sz="8" w:space="0" w:color="auto"/>
              <w:right w:val="single" w:sz="8" w:space="0" w:color="auto"/>
            </w:tcBorders>
            <w:shd w:val="clear" w:color="000000" w:fill="BFBFBF"/>
            <w:vAlign w:val="center"/>
            <w:hideMark/>
          </w:tcPr>
          <w:p w14:paraId="7659548F" w14:textId="77777777" w:rsidR="003B42C7" w:rsidRPr="00CA5237" w:rsidRDefault="003B42C7"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81.67%</w:t>
            </w:r>
          </w:p>
        </w:tc>
        <w:tc>
          <w:tcPr>
            <w:tcW w:w="900" w:type="dxa"/>
            <w:tcBorders>
              <w:top w:val="nil"/>
              <w:left w:val="nil"/>
              <w:bottom w:val="single" w:sz="8" w:space="0" w:color="auto"/>
              <w:right w:val="single" w:sz="8" w:space="0" w:color="auto"/>
            </w:tcBorders>
            <w:shd w:val="clear" w:color="000000" w:fill="BFBFBF"/>
            <w:vAlign w:val="center"/>
            <w:hideMark/>
          </w:tcPr>
          <w:p w14:paraId="5C0DDE4B" w14:textId="77777777" w:rsidR="003B42C7" w:rsidRPr="00CA5237" w:rsidRDefault="003B42C7"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73.33%</w:t>
            </w:r>
          </w:p>
        </w:tc>
        <w:tc>
          <w:tcPr>
            <w:tcW w:w="960" w:type="dxa"/>
            <w:tcBorders>
              <w:top w:val="nil"/>
              <w:left w:val="nil"/>
              <w:bottom w:val="single" w:sz="8" w:space="0" w:color="auto"/>
              <w:right w:val="single" w:sz="8" w:space="0" w:color="auto"/>
            </w:tcBorders>
            <w:shd w:val="clear" w:color="000000" w:fill="BFBFBF"/>
            <w:vAlign w:val="center"/>
            <w:hideMark/>
          </w:tcPr>
          <w:p w14:paraId="1B15D643" w14:textId="77777777" w:rsidR="003B42C7" w:rsidRPr="00CA5237" w:rsidRDefault="003B42C7"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66.67%</w:t>
            </w:r>
          </w:p>
        </w:tc>
        <w:tc>
          <w:tcPr>
            <w:tcW w:w="967" w:type="dxa"/>
            <w:tcBorders>
              <w:top w:val="nil"/>
              <w:left w:val="nil"/>
              <w:bottom w:val="nil"/>
              <w:right w:val="single" w:sz="8" w:space="0" w:color="auto"/>
            </w:tcBorders>
            <w:shd w:val="clear" w:color="auto" w:fill="auto"/>
            <w:noWrap/>
            <w:vAlign w:val="bottom"/>
            <w:hideMark/>
          </w:tcPr>
          <w:p w14:paraId="2FC99B36" w14:textId="77777777" w:rsidR="003B42C7" w:rsidRPr="00CA5237" w:rsidRDefault="003B42C7" w:rsidP="003B42C7">
            <w:pPr>
              <w:rPr>
                <w:rFonts w:ascii="Arial" w:hAnsi="Arial" w:cs="Arial"/>
                <w:color w:val="000000"/>
                <w:sz w:val="22"/>
                <w:szCs w:val="22"/>
                <w:lang w:eastAsia="en-GB"/>
              </w:rPr>
            </w:pPr>
            <w:r w:rsidRPr="00CA5237">
              <w:rPr>
                <w:rFonts w:ascii="Arial" w:hAnsi="Arial" w:cs="Arial"/>
                <w:color w:val="000000"/>
                <w:sz w:val="22"/>
                <w:szCs w:val="22"/>
                <w:lang w:eastAsia="en-GB"/>
              </w:rPr>
              <w:t> </w:t>
            </w:r>
          </w:p>
        </w:tc>
      </w:tr>
      <w:tr w:rsidR="003B42C7" w:rsidRPr="00CA5237" w14:paraId="5BBDA9F2" w14:textId="77777777" w:rsidTr="003B42C7">
        <w:trPr>
          <w:trHeight w:val="315"/>
        </w:trPr>
        <w:tc>
          <w:tcPr>
            <w:tcW w:w="254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E9E612A"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Arriva Kent</w:t>
            </w:r>
          </w:p>
        </w:tc>
        <w:tc>
          <w:tcPr>
            <w:tcW w:w="1136" w:type="dxa"/>
            <w:tcBorders>
              <w:top w:val="nil"/>
              <w:left w:val="nil"/>
              <w:bottom w:val="single" w:sz="4" w:space="0" w:color="auto"/>
              <w:right w:val="nil"/>
            </w:tcBorders>
            <w:shd w:val="clear" w:color="auto" w:fill="auto"/>
            <w:noWrap/>
            <w:vAlign w:val="bottom"/>
            <w:hideMark/>
          </w:tcPr>
          <w:p w14:paraId="6D0233A4"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85%</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0883FAF1"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91%</w:t>
            </w:r>
          </w:p>
        </w:tc>
        <w:tc>
          <w:tcPr>
            <w:tcW w:w="1060" w:type="dxa"/>
            <w:tcBorders>
              <w:top w:val="nil"/>
              <w:left w:val="nil"/>
              <w:bottom w:val="single" w:sz="4" w:space="0" w:color="auto"/>
              <w:right w:val="nil"/>
            </w:tcBorders>
            <w:shd w:val="clear" w:color="000000" w:fill="FFFF00"/>
            <w:noWrap/>
            <w:vAlign w:val="bottom"/>
            <w:hideMark/>
          </w:tcPr>
          <w:p w14:paraId="4A3E9371"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88.33%</w:t>
            </w:r>
          </w:p>
        </w:tc>
        <w:tc>
          <w:tcPr>
            <w:tcW w:w="880" w:type="dxa"/>
            <w:tcBorders>
              <w:top w:val="nil"/>
              <w:left w:val="single" w:sz="8" w:space="0" w:color="auto"/>
              <w:bottom w:val="single" w:sz="4" w:space="0" w:color="auto"/>
              <w:right w:val="nil"/>
            </w:tcBorders>
            <w:shd w:val="clear" w:color="000000" w:fill="FFFF00"/>
            <w:noWrap/>
            <w:vAlign w:val="bottom"/>
            <w:hideMark/>
          </w:tcPr>
          <w:p w14:paraId="5DAB301D"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c>
          <w:tcPr>
            <w:tcW w:w="900" w:type="dxa"/>
            <w:tcBorders>
              <w:top w:val="nil"/>
              <w:left w:val="single" w:sz="8" w:space="0" w:color="auto"/>
              <w:bottom w:val="single" w:sz="4" w:space="0" w:color="auto"/>
              <w:right w:val="nil"/>
            </w:tcBorders>
            <w:shd w:val="clear" w:color="000000" w:fill="FFFF00"/>
            <w:noWrap/>
            <w:vAlign w:val="bottom"/>
            <w:hideMark/>
          </w:tcPr>
          <w:p w14:paraId="0B61AF1E"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nil"/>
              <w:left w:val="single" w:sz="8" w:space="0" w:color="auto"/>
              <w:bottom w:val="single" w:sz="4" w:space="0" w:color="auto"/>
              <w:right w:val="single" w:sz="8" w:space="0" w:color="auto"/>
            </w:tcBorders>
            <w:shd w:val="clear" w:color="000000" w:fill="FFFF00"/>
            <w:noWrap/>
            <w:vAlign w:val="bottom"/>
            <w:hideMark/>
          </w:tcPr>
          <w:p w14:paraId="3D87B890"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val="restart"/>
            <w:tcBorders>
              <w:top w:val="single" w:sz="8" w:space="0" w:color="auto"/>
              <w:left w:val="single" w:sz="8" w:space="0" w:color="auto"/>
              <w:bottom w:val="nil"/>
              <w:right w:val="single" w:sz="8" w:space="0" w:color="auto"/>
            </w:tcBorders>
            <w:shd w:val="clear" w:color="auto" w:fill="auto"/>
            <w:vAlign w:val="center"/>
            <w:hideMark/>
          </w:tcPr>
          <w:p w14:paraId="1AC03BAA" w14:textId="22E7289D" w:rsidR="003B42C7" w:rsidRPr="00CA5237" w:rsidRDefault="003B42C7" w:rsidP="003B42C7">
            <w:pPr>
              <w:jc w:val="center"/>
              <w:rPr>
                <w:rFonts w:ascii="Arial" w:hAnsi="Arial" w:cs="Arial"/>
                <w:b/>
                <w:bCs/>
                <w:color w:val="000000"/>
                <w:sz w:val="22"/>
                <w:szCs w:val="22"/>
                <w:lang w:eastAsia="en-GB"/>
              </w:rPr>
            </w:pPr>
            <w:r w:rsidRPr="00CA5237">
              <w:rPr>
                <w:rFonts w:ascii="Arial" w:hAnsi="Arial" w:cs="Arial"/>
                <w:b/>
                <w:bCs/>
                <w:color w:val="000000"/>
                <w:sz w:val="22"/>
                <w:szCs w:val="22"/>
                <w:lang w:eastAsia="en-GB"/>
              </w:rPr>
              <w:t>If actual revenue is higher</w:t>
            </w:r>
            <w:r w:rsidR="002638B2">
              <w:rPr>
                <w:rFonts w:ascii="Arial" w:hAnsi="Arial" w:cs="Arial"/>
                <w:b/>
                <w:bCs/>
                <w:color w:val="000000"/>
                <w:sz w:val="22"/>
                <w:szCs w:val="22"/>
                <w:lang w:eastAsia="en-GB"/>
              </w:rPr>
              <w:t>,</w:t>
            </w:r>
            <w:r w:rsidRPr="00CA5237">
              <w:rPr>
                <w:rFonts w:ascii="Arial" w:hAnsi="Arial" w:cs="Arial"/>
                <w:b/>
                <w:bCs/>
                <w:color w:val="000000"/>
                <w:sz w:val="22"/>
                <w:szCs w:val="22"/>
                <w:lang w:eastAsia="en-GB"/>
              </w:rPr>
              <w:t xml:space="preserve"> than </w:t>
            </w:r>
            <w:r w:rsidR="002638B2">
              <w:rPr>
                <w:rFonts w:ascii="Arial" w:hAnsi="Arial" w:cs="Arial"/>
                <w:b/>
                <w:bCs/>
                <w:color w:val="000000"/>
                <w:sz w:val="22"/>
                <w:szCs w:val="22"/>
                <w:lang w:eastAsia="en-GB"/>
              </w:rPr>
              <w:t xml:space="preserve">the </w:t>
            </w:r>
            <w:r w:rsidRPr="00CA5237">
              <w:rPr>
                <w:rFonts w:ascii="Arial" w:hAnsi="Arial" w:cs="Arial"/>
                <w:b/>
                <w:bCs/>
                <w:color w:val="000000"/>
                <w:sz w:val="22"/>
                <w:szCs w:val="22"/>
                <w:lang w:eastAsia="en-GB"/>
              </w:rPr>
              <w:t xml:space="preserve">actual revenue </w:t>
            </w:r>
          </w:p>
        </w:tc>
      </w:tr>
      <w:tr w:rsidR="003B42C7" w:rsidRPr="00CA5237" w14:paraId="3890ABE1" w14:textId="77777777" w:rsidTr="003B42C7">
        <w:trPr>
          <w:trHeight w:val="315"/>
        </w:trPr>
        <w:tc>
          <w:tcPr>
            <w:tcW w:w="2548" w:type="dxa"/>
            <w:tcBorders>
              <w:top w:val="nil"/>
              <w:left w:val="single" w:sz="8" w:space="0" w:color="auto"/>
              <w:bottom w:val="single" w:sz="4" w:space="0" w:color="auto"/>
              <w:right w:val="single" w:sz="8" w:space="0" w:color="auto"/>
            </w:tcBorders>
            <w:shd w:val="clear" w:color="auto" w:fill="auto"/>
            <w:noWrap/>
            <w:vAlign w:val="center"/>
            <w:hideMark/>
          </w:tcPr>
          <w:p w14:paraId="162D83CE"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Arriva the Shires</w:t>
            </w:r>
          </w:p>
        </w:tc>
        <w:tc>
          <w:tcPr>
            <w:tcW w:w="1136" w:type="dxa"/>
            <w:tcBorders>
              <w:top w:val="nil"/>
              <w:left w:val="nil"/>
              <w:bottom w:val="single" w:sz="4" w:space="0" w:color="auto"/>
              <w:right w:val="nil"/>
            </w:tcBorders>
            <w:shd w:val="clear" w:color="auto" w:fill="auto"/>
            <w:noWrap/>
            <w:vAlign w:val="bottom"/>
            <w:hideMark/>
          </w:tcPr>
          <w:p w14:paraId="6B2635F9"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44%</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33F17DE1"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54%</w:t>
            </w:r>
          </w:p>
        </w:tc>
        <w:tc>
          <w:tcPr>
            <w:tcW w:w="1060" w:type="dxa"/>
            <w:tcBorders>
              <w:top w:val="single" w:sz="8" w:space="0" w:color="auto"/>
              <w:left w:val="nil"/>
              <w:bottom w:val="single" w:sz="4" w:space="0" w:color="auto"/>
              <w:right w:val="nil"/>
            </w:tcBorders>
            <w:shd w:val="clear" w:color="000000" w:fill="FFFF00"/>
            <w:noWrap/>
            <w:vAlign w:val="bottom"/>
            <w:hideMark/>
          </w:tcPr>
          <w:p w14:paraId="5276F448"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54.25%</w:t>
            </w:r>
          </w:p>
        </w:tc>
        <w:tc>
          <w:tcPr>
            <w:tcW w:w="880" w:type="dxa"/>
            <w:tcBorders>
              <w:top w:val="single" w:sz="8" w:space="0" w:color="auto"/>
              <w:left w:val="single" w:sz="8" w:space="0" w:color="auto"/>
              <w:bottom w:val="single" w:sz="4" w:space="0" w:color="auto"/>
              <w:right w:val="nil"/>
            </w:tcBorders>
            <w:shd w:val="clear" w:color="000000" w:fill="FFFF00"/>
            <w:noWrap/>
            <w:vAlign w:val="bottom"/>
            <w:hideMark/>
          </w:tcPr>
          <w:p w14:paraId="38865C4D"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54.25%</w:t>
            </w:r>
          </w:p>
        </w:tc>
        <w:tc>
          <w:tcPr>
            <w:tcW w:w="900" w:type="dxa"/>
            <w:tcBorders>
              <w:top w:val="single" w:sz="8" w:space="0" w:color="auto"/>
              <w:left w:val="single" w:sz="8" w:space="0" w:color="auto"/>
              <w:bottom w:val="single" w:sz="4" w:space="0" w:color="auto"/>
              <w:right w:val="nil"/>
            </w:tcBorders>
            <w:shd w:val="clear" w:color="000000" w:fill="FFFF00"/>
            <w:noWrap/>
            <w:vAlign w:val="bottom"/>
            <w:hideMark/>
          </w:tcPr>
          <w:p w14:paraId="158FD044"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54.25%</w:t>
            </w:r>
          </w:p>
        </w:tc>
        <w:tc>
          <w:tcPr>
            <w:tcW w:w="960"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49356F75"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54.25%</w:t>
            </w:r>
          </w:p>
        </w:tc>
        <w:tc>
          <w:tcPr>
            <w:tcW w:w="967" w:type="dxa"/>
            <w:vMerge/>
            <w:tcBorders>
              <w:top w:val="single" w:sz="8" w:space="0" w:color="auto"/>
              <w:left w:val="single" w:sz="8" w:space="0" w:color="auto"/>
              <w:bottom w:val="nil"/>
              <w:right w:val="single" w:sz="8" w:space="0" w:color="auto"/>
            </w:tcBorders>
            <w:vAlign w:val="center"/>
            <w:hideMark/>
          </w:tcPr>
          <w:p w14:paraId="2201C288" w14:textId="77777777" w:rsidR="003B42C7" w:rsidRPr="00CA5237" w:rsidRDefault="003B42C7" w:rsidP="003B42C7">
            <w:pPr>
              <w:rPr>
                <w:rFonts w:ascii="Arial" w:hAnsi="Arial" w:cs="Arial"/>
                <w:b/>
                <w:bCs/>
                <w:color w:val="000000"/>
                <w:sz w:val="22"/>
                <w:szCs w:val="22"/>
                <w:lang w:eastAsia="en-GB"/>
              </w:rPr>
            </w:pPr>
          </w:p>
        </w:tc>
      </w:tr>
      <w:tr w:rsidR="003B42C7" w:rsidRPr="00CA5237" w14:paraId="7952B536" w14:textId="77777777" w:rsidTr="003B42C7">
        <w:trPr>
          <w:trHeight w:val="315"/>
        </w:trPr>
        <w:tc>
          <w:tcPr>
            <w:tcW w:w="2548" w:type="dxa"/>
            <w:tcBorders>
              <w:top w:val="nil"/>
              <w:left w:val="single" w:sz="8" w:space="0" w:color="auto"/>
              <w:bottom w:val="single" w:sz="4" w:space="0" w:color="auto"/>
              <w:right w:val="single" w:sz="8" w:space="0" w:color="auto"/>
            </w:tcBorders>
            <w:shd w:val="clear" w:color="auto" w:fill="auto"/>
            <w:noWrap/>
            <w:vAlign w:val="center"/>
            <w:hideMark/>
          </w:tcPr>
          <w:p w14:paraId="211EB3BA"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Carousel Buses</w:t>
            </w:r>
          </w:p>
        </w:tc>
        <w:tc>
          <w:tcPr>
            <w:tcW w:w="1136" w:type="dxa"/>
            <w:tcBorders>
              <w:top w:val="nil"/>
              <w:left w:val="nil"/>
              <w:bottom w:val="single" w:sz="4" w:space="0" w:color="auto"/>
              <w:right w:val="nil"/>
            </w:tcBorders>
            <w:shd w:val="clear" w:color="auto" w:fill="auto"/>
            <w:noWrap/>
            <w:vAlign w:val="bottom"/>
            <w:hideMark/>
          </w:tcPr>
          <w:p w14:paraId="31E1AA02"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3943D47C"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060" w:type="dxa"/>
            <w:tcBorders>
              <w:top w:val="single" w:sz="8" w:space="0" w:color="auto"/>
              <w:left w:val="nil"/>
              <w:bottom w:val="single" w:sz="4" w:space="0" w:color="auto"/>
              <w:right w:val="nil"/>
            </w:tcBorders>
            <w:shd w:val="clear" w:color="000000" w:fill="FFFF00"/>
            <w:noWrap/>
            <w:vAlign w:val="bottom"/>
            <w:hideMark/>
          </w:tcPr>
          <w:p w14:paraId="7A3B7701"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88.33%</w:t>
            </w:r>
          </w:p>
        </w:tc>
        <w:tc>
          <w:tcPr>
            <w:tcW w:w="880" w:type="dxa"/>
            <w:tcBorders>
              <w:top w:val="single" w:sz="8" w:space="0" w:color="auto"/>
              <w:left w:val="single" w:sz="8" w:space="0" w:color="auto"/>
              <w:bottom w:val="single" w:sz="4" w:space="0" w:color="auto"/>
              <w:right w:val="nil"/>
            </w:tcBorders>
            <w:shd w:val="clear" w:color="000000" w:fill="FFFF00"/>
            <w:noWrap/>
            <w:vAlign w:val="bottom"/>
            <w:hideMark/>
          </w:tcPr>
          <w:p w14:paraId="56515906"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c>
          <w:tcPr>
            <w:tcW w:w="900" w:type="dxa"/>
            <w:tcBorders>
              <w:top w:val="single" w:sz="8" w:space="0" w:color="auto"/>
              <w:left w:val="single" w:sz="8" w:space="0" w:color="auto"/>
              <w:bottom w:val="single" w:sz="4" w:space="0" w:color="auto"/>
              <w:right w:val="nil"/>
            </w:tcBorders>
            <w:shd w:val="clear" w:color="000000" w:fill="FFFF00"/>
            <w:noWrap/>
            <w:vAlign w:val="bottom"/>
            <w:hideMark/>
          </w:tcPr>
          <w:p w14:paraId="09D1182B"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3598ED0F"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tcBorders>
              <w:top w:val="single" w:sz="8" w:space="0" w:color="auto"/>
              <w:left w:val="single" w:sz="8" w:space="0" w:color="auto"/>
              <w:bottom w:val="nil"/>
              <w:right w:val="single" w:sz="8" w:space="0" w:color="auto"/>
            </w:tcBorders>
            <w:vAlign w:val="center"/>
            <w:hideMark/>
          </w:tcPr>
          <w:p w14:paraId="46CB1E35" w14:textId="77777777" w:rsidR="003B42C7" w:rsidRPr="00CA5237" w:rsidRDefault="003B42C7" w:rsidP="003B42C7">
            <w:pPr>
              <w:rPr>
                <w:rFonts w:ascii="Arial" w:hAnsi="Arial" w:cs="Arial"/>
                <w:b/>
                <w:bCs/>
                <w:color w:val="000000"/>
                <w:sz w:val="22"/>
                <w:szCs w:val="22"/>
                <w:lang w:eastAsia="en-GB"/>
              </w:rPr>
            </w:pPr>
          </w:p>
        </w:tc>
      </w:tr>
      <w:tr w:rsidR="003B42C7" w:rsidRPr="00CA5237" w14:paraId="0D70AB88" w14:textId="77777777" w:rsidTr="003B42C7">
        <w:trPr>
          <w:trHeight w:val="315"/>
        </w:trPr>
        <w:tc>
          <w:tcPr>
            <w:tcW w:w="2548" w:type="dxa"/>
            <w:tcBorders>
              <w:top w:val="nil"/>
              <w:left w:val="single" w:sz="8" w:space="0" w:color="auto"/>
              <w:bottom w:val="single" w:sz="4" w:space="0" w:color="auto"/>
              <w:right w:val="single" w:sz="8" w:space="0" w:color="auto"/>
            </w:tcBorders>
            <w:shd w:val="clear" w:color="auto" w:fill="auto"/>
            <w:noWrap/>
            <w:vAlign w:val="center"/>
            <w:hideMark/>
          </w:tcPr>
          <w:p w14:paraId="74FED046"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 xml:space="preserve">Hallmark </w:t>
            </w:r>
          </w:p>
        </w:tc>
        <w:tc>
          <w:tcPr>
            <w:tcW w:w="1136" w:type="dxa"/>
            <w:tcBorders>
              <w:top w:val="nil"/>
              <w:left w:val="nil"/>
              <w:bottom w:val="single" w:sz="4" w:space="0" w:color="auto"/>
              <w:right w:val="nil"/>
            </w:tcBorders>
            <w:shd w:val="clear" w:color="auto" w:fill="auto"/>
            <w:noWrap/>
            <w:vAlign w:val="bottom"/>
            <w:hideMark/>
          </w:tcPr>
          <w:p w14:paraId="6E8910C7"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1B558C2B"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060" w:type="dxa"/>
            <w:tcBorders>
              <w:top w:val="single" w:sz="8" w:space="0" w:color="auto"/>
              <w:left w:val="nil"/>
              <w:bottom w:val="single" w:sz="4" w:space="0" w:color="auto"/>
              <w:right w:val="nil"/>
            </w:tcBorders>
            <w:shd w:val="clear" w:color="000000" w:fill="FFFF00"/>
            <w:noWrap/>
            <w:vAlign w:val="bottom"/>
            <w:hideMark/>
          </w:tcPr>
          <w:p w14:paraId="3BEF1A6C"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88.33%</w:t>
            </w:r>
          </w:p>
        </w:tc>
        <w:tc>
          <w:tcPr>
            <w:tcW w:w="880" w:type="dxa"/>
            <w:tcBorders>
              <w:top w:val="single" w:sz="8" w:space="0" w:color="auto"/>
              <w:left w:val="single" w:sz="8" w:space="0" w:color="auto"/>
              <w:bottom w:val="single" w:sz="4" w:space="0" w:color="auto"/>
              <w:right w:val="nil"/>
            </w:tcBorders>
            <w:shd w:val="clear" w:color="000000" w:fill="FFFF00"/>
            <w:noWrap/>
            <w:vAlign w:val="bottom"/>
            <w:hideMark/>
          </w:tcPr>
          <w:p w14:paraId="5ED5820A"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c>
          <w:tcPr>
            <w:tcW w:w="900" w:type="dxa"/>
            <w:tcBorders>
              <w:top w:val="single" w:sz="8" w:space="0" w:color="auto"/>
              <w:left w:val="single" w:sz="8" w:space="0" w:color="auto"/>
              <w:bottom w:val="single" w:sz="4" w:space="0" w:color="auto"/>
              <w:right w:val="nil"/>
            </w:tcBorders>
            <w:shd w:val="clear" w:color="000000" w:fill="FFFF00"/>
            <w:noWrap/>
            <w:vAlign w:val="bottom"/>
            <w:hideMark/>
          </w:tcPr>
          <w:p w14:paraId="3FEAAD8C"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2910ADA0"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tcBorders>
              <w:top w:val="single" w:sz="8" w:space="0" w:color="auto"/>
              <w:left w:val="single" w:sz="8" w:space="0" w:color="auto"/>
              <w:bottom w:val="nil"/>
              <w:right w:val="single" w:sz="8" w:space="0" w:color="auto"/>
            </w:tcBorders>
            <w:vAlign w:val="center"/>
            <w:hideMark/>
          </w:tcPr>
          <w:p w14:paraId="7FE19DD3" w14:textId="77777777" w:rsidR="003B42C7" w:rsidRPr="00CA5237" w:rsidRDefault="003B42C7" w:rsidP="003B42C7">
            <w:pPr>
              <w:rPr>
                <w:rFonts w:ascii="Arial" w:hAnsi="Arial" w:cs="Arial"/>
                <w:b/>
                <w:bCs/>
                <w:color w:val="000000"/>
                <w:sz w:val="22"/>
                <w:szCs w:val="22"/>
                <w:lang w:eastAsia="en-GB"/>
              </w:rPr>
            </w:pPr>
          </w:p>
        </w:tc>
      </w:tr>
      <w:tr w:rsidR="003B42C7" w:rsidRPr="00CA5237" w14:paraId="5C8575E7" w14:textId="77777777" w:rsidTr="003B42C7">
        <w:trPr>
          <w:trHeight w:val="315"/>
        </w:trPr>
        <w:tc>
          <w:tcPr>
            <w:tcW w:w="2548" w:type="dxa"/>
            <w:tcBorders>
              <w:top w:val="nil"/>
              <w:left w:val="single" w:sz="8" w:space="0" w:color="auto"/>
              <w:bottom w:val="single" w:sz="4" w:space="0" w:color="auto"/>
              <w:right w:val="single" w:sz="8" w:space="0" w:color="auto"/>
            </w:tcBorders>
            <w:shd w:val="clear" w:color="auto" w:fill="auto"/>
            <w:noWrap/>
            <w:vAlign w:val="center"/>
            <w:hideMark/>
          </w:tcPr>
          <w:p w14:paraId="367127E5"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Metrobus</w:t>
            </w:r>
          </w:p>
        </w:tc>
        <w:tc>
          <w:tcPr>
            <w:tcW w:w="1136" w:type="dxa"/>
            <w:tcBorders>
              <w:top w:val="nil"/>
              <w:left w:val="nil"/>
              <w:bottom w:val="single" w:sz="4" w:space="0" w:color="auto"/>
              <w:right w:val="nil"/>
            </w:tcBorders>
            <w:shd w:val="clear" w:color="auto" w:fill="auto"/>
            <w:noWrap/>
            <w:vAlign w:val="bottom"/>
            <w:hideMark/>
          </w:tcPr>
          <w:p w14:paraId="2E144B78"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5B9FF4D0"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060" w:type="dxa"/>
            <w:tcBorders>
              <w:top w:val="single" w:sz="8" w:space="0" w:color="auto"/>
              <w:left w:val="nil"/>
              <w:bottom w:val="single" w:sz="4" w:space="0" w:color="auto"/>
              <w:right w:val="nil"/>
            </w:tcBorders>
            <w:shd w:val="clear" w:color="000000" w:fill="FFFF00"/>
            <w:noWrap/>
            <w:vAlign w:val="bottom"/>
            <w:hideMark/>
          </w:tcPr>
          <w:p w14:paraId="227FAE93"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88.33%</w:t>
            </w:r>
          </w:p>
        </w:tc>
        <w:tc>
          <w:tcPr>
            <w:tcW w:w="880" w:type="dxa"/>
            <w:tcBorders>
              <w:top w:val="single" w:sz="8" w:space="0" w:color="auto"/>
              <w:left w:val="single" w:sz="8" w:space="0" w:color="auto"/>
              <w:bottom w:val="single" w:sz="4" w:space="0" w:color="auto"/>
              <w:right w:val="nil"/>
            </w:tcBorders>
            <w:shd w:val="clear" w:color="000000" w:fill="FFFF00"/>
            <w:noWrap/>
            <w:vAlign w:val="bottom"/>
            <w:hideMark/>
          </w:tcPr>
          <w:p w14:paraId="1758FD2B"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c>
          <w:tcPr>
            <w:tcW w:w="900" w:type="dxa"/>
            <w:tcBorders>
              <w:top w:val="single" w:sz="8" w:space="0" w:color="auto"/>
              <w:left w:val="single" w:sz="8" w:space="0" w:color="auto"/>
              <w:bottom w:val="single" w:sz="4" w:space="0" w:color="auto"/>
              <w:right w:val="nil"/>
            </w:tcBorders>
            <w:shd w:val="clear" w:color="000000" w:fill="FFFF00"/>
            <w:noWrap/>
            <w:vAlign w:val="bottom"/>
            <w:hideMark/>
          </w:tcPr>
          <w:p w14:paraId="4BF52433"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167AA09B"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tcBorders>
              <w:top w:val="single" w:sz="8" w:space="0" w:color="auto"/>
              <w:left w:val="single" w:sz="8" w:space="0" w:color="auto"/>
              <w:bottom w:val="nil"/>
              <w:right w:val="single" w:sz="8" w:space="0" w:color="auto"/>
            </w:tcBorders>
            <w:vAlign w:val="center"/>
            <w:hideMark/>
          </w:tcPr>
          <w:p w14:paraId="7970193F" w14:textId="77777777" w:rsidR="003B42C7" w:rsidRPr="00CA5237" w:rsidRDefault="003B42C7" w:rsidP="003B42C7">
            <w:pPr>
              <w:rPr>
                <w:rFonts w:ascii="Arial" w:hAnsi="Arial" w:cs="Arial"/>
                <w:b/>
                <w:bCs/>
                <w:color w:val="000000"/>
                <w:sz w:val="22"/>
                <w:szCs w:val="22"/>
                <w:lang w:eastAsia="en-GB"/>
              </w:rPr>
            </w:pPr>
          </w:p>
        </w:tc>
      </w:tr>
      <w:tr w:rsidR="003B42C7" w:rsidRPr="00CA5237" w14:paraId="04B7F40B" w14:textId="77777777" w:rsidTr="003B42C7">
        <w:trPr>
          <w:trHeight w:val="315"/>
        </w:trPr>
        <w:tc>
          <w:tcPr>
            <w:tcW w:w="2548" w:type="dxa"/>
            <w:tcBorders>
              <w:top w:val="nil"/>
              <w:left w:val="single" w:sz="8" w:space="0" w:color="auto"/>
              <w:bottom w:val="single" w:sz="4" w:space="0" w:color="auto"/>
              <w:right w:val="single" w:sz="8" w:space="0" w:color="auto"/>
            </w:tcBorders>
            <w:shd w:val="clear" w:color="auto" w:fill="auto"/>
            <w:noWrap/>
            <w:vAlign w:val="center"/>
            <w:hideMark/>
          </w:tcPr>
          <w:p w14:paraId="07090E0A" w14:textId="77777777" w:rsidR="003B42C7" w:rsidRPr="00CA5237" w:rsidRDefault="003B42C7" w:rsidP="003B42C7">
            <w:pPr>
              <w:rPr>
                <w:rFonts w:ascii="Arial" w:hAnsi="Arial" w:cs="Arial"/>
                <w:b/>
                <w:bCs/>
                <w:color w:val="000000"/>
                <w:sz w:val="22"/>
                <w:szCs w:val="22"/>
                <w:lang w:eastAsia="en-GB"/>
              </w:rPr>
            </w:pPr>
            <w:proofErr w:type="spellStart"/>
            <w:r w:rsidRPr="00CA5237">
              <w:rPr>
                <w:rFonts w:ascii="Arial" w:hAnsi="Arial" w:cs="Arial"/>
                <w:b/>
                <w:bCs/>
                <w:color w:val="000000"/>
                <w:sz w:val="22"/>
                <w:szCs w:val="22"/>
                <w:lang w:eastAsia="en-GB"/>
              </w:rPr>
              <w:t>Metroline</w:t>
            </w:r>
            <w:proofErr w:type="spellEnd"/>
          </w:p>
        </w:tc>
        <w:tc>
          <w:tcPr>
            <w:tcW w:w="1136" w:type="dxa"/>
            <w:tcBorders>
              <w:top w:val="nil"/>
              <w:left w:val="nil"/>
              <w:bottom w:val="single" w:sz="4" w:space="0" w:color="auto"/>
              <w:right w:val="nil"/>
            </w:tcBorders>
            <w:shd w:val="clear" w:color="auto" w:fill="auto"/>
            <w:noWrap/>
            <w:vAlign w:val="bottom"/>
            <w:hideMark/>
          </w:tcPr>
          <w:p w14:paraId="016C576D"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34629025"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060" w:type="dxa"/>
            <w:tcBorders>
              <w:top w:val="single" w:sz="8" w:space="0" w:color="auto"/>
              <w:left w:val="nil"/>
              <w:bottom w:val="single" w:sz="4" w:space="0" w:color="auto"/>
              <w:right w:val="nil"/>
            </w:tcBorders>
            <w:shd w:val="clear" w:color="000000" w:fill="FFFF00"/>
            <w:noWrap/>
            <w:vAlign w:val="bottom"/>
            <w:hideMark/>
          </w:tcPr>
          <w:p w14:paraId="4440A0FA"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88.33%</w:t>
            </w:r>
          </w:p>
        </w:tc>
        <w:tc>
          <w:tcPr>
            <w:tcW w:w="880" w:type="dxa"/>
            <w:tcBorders>
              <w:top w:val="single" w:sz="8" w:space="0" w:color="auto"/>
              <w:left w:val="single" w:sz="8" w:space="0" w:color="auto"/>
              <w:bottom w:val="single" w:sz="4" w:space="0" w:color="auto"/>
              <w:right w:val="nil"/>
            </w:tcBorders>
            <w:shd w:val="clear" w:color="000000" w:fill="FFFF00"/>
            <w:noWrap/>
            <w:vAlign w:val="bottom"/>
            <w:hideMark/>
          </w:tcPr>
          <w:p w14:paraId="7E6C6B60"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c>
          <w:tcPr>
            <w:tcW w:w="900" w:type="dxa"/>
            <w:tcBorders>
              <w:top w:val="single" w:sz="8" w:space="0" w:color="auto"/>
              <w:left w:val="single" w:sz="8" w:space="0" w:color="auto"/>
              <w:bottom w:val="single" w:sz="4" w:space="0" w:color="auto"/>
              <w:right w:val="nil"/>
            </w:tcBorders>
            <w:shd w:val="clear" w:color="000000" w:fill="FFFF00"/>
            <w:noWrap/>
            <w:vAlign w:val="bottom"/>
            <w:hideMark/>
          </w:tcPr>
          <w:p w14:paraId="20602E39"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24DA0D5C"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tcBorders>
              <w:top w:val="single" w:sz="8" w:space="0" w:color="auto"/>
              <w:left w:val="single" w:sz="8" w:space="0" w:color="auto"/>
              <w:bottom w:val="nil"/>
              <w:right w:val="single" w:sz="8" w:space="0" w:color="auto"/>
            </w:tcBorders>
            <w:vAlign w:val="center"/>
            <w:hideMark/>
          </w:tcPr>
          <w:p w14:paraId="5C3F554B" w14:textId="77777777" w:rsidR="003B42C7" w:rsidRPr="00CA5237" w:rsidRDefault="003B42C7" w:rsidP="003B42C7">
            <w:pPr>
              <w:rPr>
                <w:rFonts w:ascii="Arial" w:hAnsi="Arial" w:cs="Arial"/>
                <w:b/>
                <w:bCs/>
                <w:color w:val="000000"/>
                <w:sz w:val="22"/>
                <w:szCs w:val="22"/>
                <w:lang w:eastAsia="en-GB"/>
              </w:rPr>
            </w:pPr>
          </w:p>
        </w:tc>
      </w:tr>
      <w:tr w:rsidR="003B42C7" w:rsidRPr="00CA5237" w14:paraId="4CF53D1D" w14:textId="77777777" w:rsidTr="003B42C7">
        <w:trPr>
          <w:trHeight w:val="315"/>
        </w:trPr>
        <w:tc>
          <w:tcPr>
            <w:tcW w:w="2548" w:type="dxa"/>
            <w:tcBorders>
              <w:top w:val="nil"/>
              <w:left w:val="single" w:sz="8" w:space="0" w:color="auto"/>
              <w:bottom w:val="single" w:sz="4" w:space="0" w:color="auto"/>
              <w:right w:val="single" w:sz="8" w:space="0" w:color="auto"/>
            </w:tcBorders>
            <w:shd w:val="clear" w:color="auto" w:fill="auto"/>
            <w:noWrap/>
            <w:vAlign w:val="center"/>
            <w:hideMark/>
          </w:tcPr>
          <w:p w14:paraId="2019FCA6"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Oxford Tube (Stagecoach)</w:t>
            </w:r>
          </w:p>
        </w:tc>
        <w:tc>
          <w:tcPr>
            <w:tcW w:w="1136" w:type="dxa"/>
            <w:tcBorders>
              <w:top w:val="nil"/>
              <w:left w:val="nil"/>
              <w:bottom w:val="single" w:sz="4" w:space="0" w:color="auto"/>
              <w:right w:val="nil"/>
            </w:tcBorders>
            <w:shd w:val="clear" w:color="auto" w:fill="auto"/>
            <w:noWrap/>
            <w:vAlign w:val="bottom"/>
            <w:hideMark/>
          </w:tcPr>
          <w:p w14:paraId="1FFE3E0E"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86%</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779F5914"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86%</w:t>
            </w:r>
          </w:p>
        </w:tc>
        <w:tc>
          <w:tcPr>
            <w:tcW w:w="1060" w:type="dxa"/>
            <w:tcBorders>
              <w:top w:val="single" w:sz="8" w:space="0" w:color="auto"/>
              <w:left w:val="nil"/>
              <w:bottom w:val="single" w:sz="4" w:space="0" w:color="auto"/>
              <w:right w:val="nil"/>
            </w:tcBorders>
            <w:shd w:val="clear" w:color="000000" w:fill="FFFF00"/>
            <w:noWrap/>
            <w:vAlign w:val="bottom"/>
            <w:hideMark/>
          </w:tcPr>
          <w:p w14:paraId="372944BC"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86.23%</w:t>
            </w:r>
          </w:p>
        </w:tc>
        <w:tc>
          <w:tcPr>
            <w:tcW w:w="880" w:type="dxa"/>
            <w:tcBorders>
              <w:top w:val="single" w:sz="8" w:space="0" w:color="auto"/>
              <w:left w:val="single" w:sz="8" w:space="0" w:color="auto"/>
              <w:bottom w:val="single" w:sz="4" w:space="0" w:color="auto"/>
              <w:right w:val="nil"/>
            </w:tcBorders>
            <w:shd w:val="clear" w:color="000000" w:fill="FFFF00"/>
            <w:noWrap/>
            <w:vAlign w:val="bottom"/>
            <w:hideMark/>
          </w:tcPr>
          <w:p w14:paraId="453EAC80"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c>
          <w:tcPr>
            <w:tcW w:w="900" w:type="dxa"/>
            <w:tcBorders>
              <w:top w:val="single" w:sz="8" w:space="0" w:color="auto"/>
              <w:left w:val="single" w:sz="8" w:space="0" w:color="auto"/>
              <w:bottom w:val="single" w:sz="4" w:space="0" w:color="auto"/>
              <w:right w:val="nil"/>
            </w:tcBorders>
            <w:shd w:val="clear" w:color="000000" w:fill="FFFF00"/>
            <w:noWrap/>
            <w:vAlign w:val="bottom"/>
            <w:hideMark/>
          </w:tcPr>
          <w:p w14:paraId="106C79ED"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2C8E4141"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tcBorders>
              <w:top w:val="single" w:sz="8" w:space="0" w:color="auto"/>
              <w:left w:val="single" w:sz="8" w:space="0" w:color="auto"/>
              <w:bottom w:val="nil"/>
              <w:right w:val="single" w:sz="8" w:space="0" w:color="auto"/>
            </w:tcBorders>
            <w:vAlign w:val="center"/>
            <w:hideMark/>
          </w:tcPr>
          <w:p w14:paraId="686A3161" w14:textId="77777777" w:rsidR="003B42C7" w:rsidRPr="00CA5237" w:rsidRDefault="003B42C7" w:rsidP="003B42C7">
            <w:pPr>
              <w:rPr>
                <w:rFonts w:ascii="Arial" w:hAnsi="Arial" w:cs="Arial"/>
                <w:b/>
                <w:bCs/>
                <w:color w:val="000000"/>
                <w:sz w:val="22"/>
                <w:szCs w:val="22"/>
                <w:lang w:eastAsia="en-GB"/>
              </w:rPr>
            </w:pPr>
          </w:p>
        </w:tc>
      </w:tr>
      <w:tr w:rsidR="003B42C7" w:rsidRPr="00CA5237" w14:paraId="0D1EAC3A" w14:textId="77777777" w:rsidTr="003B42C7">
        <w:trPr>
          <w:trHeight w:val="315"/>
        </w:trPr>
        <w:tc>
          <w:tcPr>
            <w:tcW w:w="2548" w:type="dxa"/>
            <w:tcBorders>
              <w:top w:val="nil"/>
              <w:left w:val="single" w:sz="8" w:space="0" w:color="auto"/>
              <w:bottom w:val="single" w:sz="4" w:space="0" w:color="auto"/>
              <w:right w:val="single" w:sz="8" w:space="0" w:color="auto"/>
            </w:tcBorders>
            <w:shd w:val="clear" w:color="auto" w:fill="auto"/>
            <w:noWrap/>
            <w:vAlign w:val="center"/>
            <w:hideMark/>
          </w:tcPr>
          <w:p w14:paraId="77366A6F"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Reading Buses</w:t>
            </w:r>
          </w:p>
        </w:tc>
        <w:tc>
          <w:tcPr>
            <w:tcW w:w="1136" w:type="dxa"/>
            <w:tcBorders>
              <w:top w:val="nil"/>
              <w:left w:val="nil"/>
              <w:bottom w:val="single" w:sz="4" w:space="0" w:color="auto"/>
              <w:right w:val="nil"/>
            </w:tcBorders>
            <w:shd w:val="clear" w:color="auto" w:fill="auto"/>
            <w:noWrap/>
            <w:vAlign w:val="bottom"/>
            <w:hideMark/>
          </w:tcPr>
          <w:p w14:paraId="7D9E098D"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32E14F59"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060" w:type="dxa"/>
            <w:tcBorders>
              <w:top w:val="single" w:sz="8" w:space="0" w:color="auto"/>
              <w:left w:val="nil"/>
              <w:bottom w:val="single" w:sz="4" w:space="0" w:color="auto"/>
              <w:right w:val="nil"/>
            </w:tcBorders>
            <w:shd w:val="clear" w:color="000000" w:fill="FFFF00"/>
            <w:noWrap/>
            <w:vAlign w:val="bottom"/>
            <w:hideMark/>
          </w:tcPr>
          <w:p w14:paraId="08ADDD2E"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88.33%</w:t>
            </w:r>
          </w:p>
        </w:tc>
        <w:tc>
          <w:tcPr>
            <w:tcW w:w="880" w:type="dxa"/>
            <w:tcBorders>
              <w:top w:val="single" w:sz="8" w:space="0" w:color="auto"/>
              <w:left w:val="single" w:sz="8" w:space="0" w:color="auto"/>
              <w:bottom w:val="single" w:sz="4" w:space="0" w:color="auto"/>
              <w:right w:val="nil"/>
            </w:tcBorders>
            <w:shd w:val="clear" w:color="000000" w:fill="FFFF00"/>
            <w:noWrap/>
            <w:vAlign w:val="bottom"/>
            <w:hideMark/>
          </w:tcPr>
          <w:p w14:paraId="110AEB01"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c>
          <w:tcPr>
            <w:tcW w:w="900" w:type="dxa"/>
            <w:tcBorders>
              <w:top w:val="single" w:sz="8" w:space="0" w:color="auto"/>
              <w:left w:val="single" w:sz="8" w:space="0" w:color="auto"/>
              <w:bottom w:val="single" w:sz="4" w:space="0" w:color="auto"/>
              <w:right w:val="nil"/>
            </w:tcBorders>
            <w:shd w:val="clear" w:color="000000" w:fill="FFFF00"/>
            <w:noWrap/>
            <w:vAlign w:val="bottom"/>
            <w:hideMark/>
          </w:tcPr>
          <w:p w14:paraId="6AE64F2A"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2077FB3E"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tcBorders>
              <w:top w:val="single" w:sz="8" w:space="0" w:color="auto"/>
              <w:left w:val="single" w:sz="8" w:space="0" w:color="auto"/>
              <w:bottom w:val="nil"/>
              <w:right w:val="single" w:sz="8" w:space="0" w:color="auto"/>
            </w:tcBorders>
            <w:vAlign w:val="center"/>
            <w:hideMark/>
          </w:tcPr>
          <w:p w14:paraId="35EE2C1A" w14:textId="77777777" w:rsidR="003B42C7" w:rsidRPr="00CA5237" w:rsidRDefault="003B42C7" w:rsidP="003B42C7">
            <w:pPr>
              <w:rPr>
                <w:rFonts w:ascii="Arial" w:hAnsi="Arial" w:cs="Arial"/>
                <w:b/>
                <w:bCs/>
                <w:color w:val="000000"/>
                <w:sz w:val="22"/>
                <w:szCs w:val="22"/>
                <w:lang w:eastAsia="en-GB"/>
              </w:rPr>
            </w:pPr>
          </w:p>
        </w:tc>
      </w:tr>
      <w:tr w:rsidR="003B42C7" w:rsidRPr="00CA5237" w14:paraId="71A293C3" w14:textId="77777777" w:rsidTr="003B42C7">
        <w:trPr>
          <w:trHeight w:val="315"/>
        </w:trPr>
        <w:tc>
          <w:tcPr>
            <w:tcW w:w="2548" w:type="dxa"/>
            <w:tcBorders>
              <w:top w:val="nil"/>
              <w:left w:val="single" w:sz="8" w:space="0" w:color="auto"/>
              <w:bottom w:val="single" w:sz="4" w:space="0" w:color="auto"/>
              <w:right w:val="single" w:sz="8" w:space="0" w:color="auto"/>
            </w:tcBorders>
            <w:shd w:val="clear" w:color="auto" w:fill="auto"/>
            <w:noWrap/>
            <w:vAlign w:val="center"/>
            <w:hideMark/>
          </w:tcPr>
          <w:p w14:paraId="6CC1EB2F" w14:textId="77777777" w:rsidR="003B42C7" w:rsidRPr="00CA5237" w:rsidRDefault="003B42C7" w:rsidP="003B42C7">
            <w:pPr>
              <w:rPr>
                <w:rFonts w:ascii="Arial" w:hAnsi="Arial" w:cs="Arial"/>
                <w:b/>
                <w:bCs/>
                <w:color w:val="000000"/>
                <w:sz w:val="22"/>
                <w:szCs w:val="22"/>
                <w:lang w:eastAsia="en-GB"/>
              </w:rPr>
            </w:pPr>
            <w:proofErr w:type="spellStart"/>
            <w:r w:rsidRPr="00CA5237">
              <w:rPr>
                <w:rFonts w:ascii="Arial" w:hAnsi="Arial" w:cs="Arial"/>
                <w:b/>
                <w:bCs/>
                <w:color w:val="000000"/>
                <w:sz w:val="22"/>
                <w:szCs w:val="22"/>
                <w:lang w:eastAsia="en-GB"/>
              </w:rPr>
              <w:t>Reptons</w:t>
            </w:r>
            <w:proofErr w:type="spellEnd"/>
            <w:r w:rsidRPr="00CA5237">
              <w:rPr>
                <w:rFonts w:ascii="Arial" w:hAnsi="Arial" w:cs="Arial"/>
                <w:b/>
                <w:bCs/>
                <w:color w:val="000000"/>
                <w:sz w:val="22"/>
                <w:szCs w:val="22"/>
                <w:lang w:eastAsia="en-GB"/>
              </w:rPr>
              <w:t xml:space="preserve"> Coaches</w:t>
            </w:r>
          </w:p>
        </w:tc>
        <w:tc>
          <w:tcPr>
            <w:tcW w:w="1136" w:type="dxa"/>
            <w:tcBorders>
              <w:top w:val="nil"/>
              <w:left w:val="nil"/>
              <w:bottom w:val="single" w:sz="4" w:space="0" w:color="auto"/>
              <w:right w:val="nil"/>
            </w:tcBorders>
            <w:shd w:val="clear" w:color="auto" w:fill="auto"/>
            <w:noWrap/>
            <w:vAlign w:val="bottom"/>
            <w:hideMark/>
          </w:tcPr>
          <w:p w14:paraId="66685A2A"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4C57F345"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060" w:type="dxa"/>
            <w:tcBorders>
              <w:top w:val="single" w:sz="8" w:space="0" w:color="auto"/>
              <w:left w:val="nil"/>
              <w:bottom w:val="single" w:sz="4" w:space="0" w:color="auto"/>
              <w:right w:val="nil"/>
            </w:tcBorders>
            <w:shd w:val="clear" w:color="000000" w:fill="FFFF00"/>
            <w:noWrap/>
            <w:vAlign w:val="bottom"/>
            <w:hideMark/>
          </w:tcPr>
          <w:p w14:paraId="651C7B20"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88.33%</w:t>
            </w:r>
          </w:p>
        </w:tc>
        <w:tc>
          <w:tcPr>
            <w:tcW w:w="880" w:type="dxa"/>
            <w:tcBorders>
              <w:top w:val="single" w:sz="8" w:space="0" w:color="auto"/>
              <w:left w:val="single" w:sz="8" w:space="0" w:color="auto"/>
              <w:bottom w:val="single" w:sz="4" w:space="0" w:color="auto"/>
              <w:right w:val="nil"/>
            </w:tcBorders>
            <w:shd w:val="clear" w:color="000000" w:fill="FFFF00"/>
            <w:noWrap/>
            <w:vAlign w:val="bottom"/>
            <w:hideMark/>
          </w:tcPr>
          <w:p w14:paraId="10AC6B65"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c>
          <w:tcPr>
            <w:tcW w:w="900" w:type="dxa"/>
            <w:tcBorders>
              <w:top w:val="single" w:sz="8" w:space="0" w:color="auto"/>
              <w:left w:val="single" w:sz="8" w:space="0" w:color="auto"/>
              <w:bottom w:val="single" w:sz="4" w:space="0" w:color="auto"/>
              <w:right w:val="nil"/>
            </w:tcBorders>
            <w:shd w:val="clear" w:color="000000" w:fill="FFFF00"/>
            <w:noWrap/>
            <w:vAlign w:val="bottom"/>
            <w:hideMark/>
          </w:tcPr>
          <w:p w14:paraId="41A0C354"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4F724BDA"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tcBorders>
              <w:top w:val="single" w:sz="8" w:space="0" w:color="auto"/>
              <w:left w:val="single" w:sz="8" w:space="0" w:color="auto"/>
              <w:bottom w:val="nil"/>
              <w:right w:val="single" w:sz="8" w:space="0" w:color="auto"/>
            </w:tcBorders>
            <w:vAlign w:val="center"/>
            <w:hideMark/>
          </w:tcPr>
          <w:p w14:paraId="6ED4B7F8" w14:textId="77777777" w:rsidR="003B42C7" w:rsidRPr="00CA5237" w:rsidRDefault="003B42C7" w:rsidP="003B42C7">
            <w:pPr>
              <w:rPr>
                <w:rFonts w:ascii="Arial" w:hAnsi="Arial" w:cs="Arial"/>
                <w:b/>
                <w:bCs/>
                <w:color w:val="000000"/>
                <w:sz w:val="22"/>
                <w:szCs w:val="22"/>
                <w:lang w:eastAsia="en-GB"/>
              </w:rPr>
            </w:pPr>
          </w:p>
        </w:tc>
      </w:tr>
      <w:tr w:rsidR="003B42C7" w:rsidRPr="00CA5237" w14:paraId="5875D642" w14:textId="77777777" w:rsidTr="003B42C7">
        <w:trPr>
          <w:trHeight w:val="315"/>
        </w:trPr>
        <w:tc>
          <w:tcPr>
            <w:tcW w:w="2548" w:type="dxa"/>
            <w:tcBorders>
              <w:top w:val="nil"/>
              <w:left w:val="single" w:sz="8" w:space="0" w:color="auto"/>
              <w:bottom w:val="single" w:sz="4" w:space="0" w:color="auto"/>
              <w:right w:val="single" w:sz="8" w:space="0" w:color="auto"/>
            </w:tcBorders>
            <w:shd w:val="clear" w:color="auto" w:fill="auto"/>
            <w:noWrap/>
            <w:vAlign w:val="center"/>
            <w:hideMark/>
          </w:tcPr>
          <w:p w14:paraId="050B849F"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Southdown PSV</w:t>
            </w:r>
          </w:p>
        </w:tc>
        <w:tc>
          <w:tcPr>
            <w:tcW w:w="1136" w:type="dxa"/>
            <w:tcBorders>
              <w:top w:val="nil"/>
              <w:left w:val="nil"/>
              <w:bottom w:val="single" w:sz="4" w:space="0" w:color="auto"/>
              <w:right w:val="nil"/>
            </w:tcBorders>
            <w:shd w:val="clear" w:color="auto" w:fill="auto"/>
            <w:noWrap/>
            <w:vAlign w:val="bottom"/>
            <w:hideMark/>
          </w:tcPr>
          <w:p w14:paraId="25EB8714"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97%</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57A9D066"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99%</w:t>
            </w:r>
          </w:p>
        </w:tc>
        <w:tc>
          <w:tcPr>
            <w:tcW w:w="1060" w:type="dxa"/>
            <w:tcBorders>
              <w:top w:val="single" w:sz="8" w:space="0" w:color="auto"/>
              <w:left w:val="nil"/>
              <w:bottom w:val="single" w:sz="4" w:space="0" w:color="auto"/>
              <w:right w:val="nil"/>
            </w:tcBorders>
            <w:shd w:val="clear" w:color="000000" w:fill="FFFF00"/>
            <w:noWrap/>
            <w:vAlign w:val="bottom"/>
            <w:hideMark/>
          </w:tcPr>
          <w:p w14:paraId="28ACB37F"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88.33%</w:t>
            </w:r>
          </w:p>
        </w:tc>
        <w:tc>
          <w:tcPr>
            <w:tcW w:w="880" w:type="dxa"/>
            <w:tcBorders>
              <w:top w:val="single" w:sz="8" w:space="0" w:color="auto"/>
              <w:left w:val="single" w:sz="8" w:space="0" w:color="auto"/>
              <w:bottom w:val="single" w:sz="4" w:space="0" w:color="auto"/>
              <w:right w:val="nil"/>
            </w:tcBorders>
            <w:shd w:val="clear" w:color="000000" w:fill="FFFF00"/>
            <w:noWrap/>
            <w:vAlign w:val="bottom"/>
            <w:hideMark/>
          </w:tcPr>
          <w:p w14:paraId="046ECBD5"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c>
          <w:tcPr>
            <w:tcW w:w="900" w:type="dxa"/>
            <w:tcBorders>
              <w:top w:val="single" w:sz="8" w:space="0" w:color="auto"/>
              <w:left w:val="single" w:sz="8" w:space="0" w:color="auto"/>
              <w:bottom w:val="single" w:sz="4" w:space="0" w:color="auto"/>
              <w:right w:val="nil"/>
            </w:tcBorders>
            <w:shd w:val="clear" w:color="000000" w:fill="FFFF00"/>
            <w:noWrap/>
            <w:vAlign w:val="bottom"/>
            <w:hideMark/>
          </w:tcPr>
          <w:p w14:paraId="298E62CD"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567123B2"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tcBorders>
              <w:top w:val="single" w:sz="8" w:space="0" w:color="auto"/>
              <w:left w:val="single" w:sz="8" w:space="0" w:color="auto"/>
              <w:bottom w:val="nil"/>
              <w:right w:val="single" w:sz="8" w:space="0" w:color="auto"/>
            </w:tcBorders>
            <w:vAlign w:val="center"/>
            <w:hideMark/>
          </w:tcPr>
          <w:p w14:paraId="4D73399B" w14:textId="77777777" w:rsidR="003B42C7" w:rsidRPr="00CA5237" w:rsidRDefault="003B42C7" w:rsidP="003B42C7">
            <w:pPr>
              <w:rPr>
                <w:rFonts w:ascii="Arial" w:hAnsi="Arial" w:cs="Arial"/>
                <w:b/>
                <w:bCs/>
                <w:color w:val="000000"/>
                <w:sz w:val="22"/>
                <w:szCs w:val="22"/>
                <w:lang w:eastAsia="en-GB"/>
              </w:rPr>
            </w:pPr>
          </w:p>
        </w:tc>
      </w:tr>
      <w:tr w:rsidR="003B42C7" w:rsidRPr="00CA5237" w14:paraId="11D92669" w14:textId="77777777" w:rsidTr="003B42C7">
        <w:trPr>
          <w:trHeight w:val="315"/>
        </w:trPr>
        <w:tc>
          <w:tcPr>
            <w:tcW w:w="2548" w:type="dxa"/>
            <w:tcBorders>
              <w:top w:val="nil"/>
              <w:left w:val="single" w:sz="8" w:space="0" w:color="auto"/>
              <w:bottom w:val="single" w:sz="4" w:space="0" w:color="auto"/>
              <w:right w:val="single" w:sz="8" w:space="0" w:color="auto"/>
            </w:tcBorders>
            <w:shd w:val="clear" w:color="auto" w:fill="auto"/>
            <w:noWrap/>
            <w:vAlign w:val="center"/>
            <w:hideMark/>
          </w:tcPr>
          <w:p w14:paraId="3BA991D8"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Stagecoach south</w:t>
            </w:r>
          </w:p>
        </w:tc>
        <w:tc>
          <w:tcPr>
            <w:tcW w:w="1136" w:type="dxa"/>
            <w:tcBorders>
              <w:top w:val="nil"/>
              <w:left w:val="nil"/>
              <w:bottom w:val="single" w:sz="4" w:space="0" w:color="auto"/>
              <w:right w:val="nil"/>
            </w:tcBorders>
            <w:shd w:val="clear" w:color="auto" w:fill="auto"/>
            <w:noWrap/>
            <w:vAlign w:val="bottom"/>
            <w:hideMark/>
          </w:tcPr>
          <w:p w14:paraId="734CEC93"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691CACD3"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100%</w:t>
            </w:r>
          </w:p>
        </w:tc>
        <w:tc>
          <w:tcPr>
            <w:tcW w:w="1060" w:type="dxa"/>
            <w:tcBorders>
              <w:top w:val="single" w:sz="8" w:space="0" w:color="auto"/>
              <w:left w:val="nil"/>
              <w:bottom w:val="single" w:sz="4" w:space="0" w:color="auto"/>
              <w:right w:val="nil"/>
            </w:tcBorders>
            <w:shd w:val="clear" w:color="000000" w:fill="FFFF00"/>
            <w:noWrap/>
            <w:vAlign w:val="bottom"/>
            <w:hideMark/>
          </w:tcPr>
          <w:p w14:paraId="0C1F0A60"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88.33%</w:t>
            </w:r>
          </w:p>
        </w:tc>
        <w:tc>
          <w:tcPr>
            <w:tcW w:w="880" w:type="dxa"/>
            <w:tcBorders>
              <w:top w:val="single" w:sz="8" w:space="0" w:color="auto"/>
              <w:left w:val="single" w:sz="8" w:space="0" w:color="auto"/>
              <w:bottom w:val="single" w:sz="4" w:space="0" w:color="auto"/>
              <w:right w:val="nil"/>
            </w:tcBorders>
            <w:shd w:val="clear" w:color="000000" w:fill="FFFF00"/>
            <w:noWrap/>
            <w:vAlign w:val="bottom"/>
            <w:hideMark/>
          </w:tcPr>
          <w:p w14:paraId="1DDDB1AF"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c>
          <w:tcPr>
            <w:tcW w:w="900" w:type="dxa"/>
            <w:tcBorders>
              <w:top w:val="single" w:sz="8" w:space="0" w:color="auto"/>
              <w:left w:val="single" w:sz="8" w:space="0" w:color="auto"/>
              <w:bottom w:val="single" w:sz="4" w:space="0" w:color="auto"/>
              <w:right w:val="nil"/>
            </w:tcBorders>
            <w:shd w:val="clear" w:color="000000" w:fill="FFFF00"/>
            <w:noWrap/>
            <w:vAlign w:val="bottom"/>
            <w:hideMark/>
          </w:tcPr>
          <w:p w14:paraId="5CF651E0"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70AFED44"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tcBorders>
              <w:top w:val="single" w:sz="8" w:space="0" w:color="auto"/>
              <w:left w:val="single" w:sz="8" w:space="0" w:color="auto"/>
              <w:bottom w:val="nil"/>
              <w:right w:val="single" w:sz="8" w:space="0" w:color="auto"/>
            </w:tcBorders>
            <w:vAlign w:val="center"/>
            <w:hideMark/>
          </w:tcPr>
          <w:p w14:paraId="282E4350" w14:textId="77777777" w:rsidR="003B42C7" w:rsidRPr="00CA5237" w:rsidRDefault="003B42C7" w:rsidP="003B42C7">
            <w:pPr>
              <w:rPr>
                <w:rFonts w:ascii="Arial" w:hAnsi="Arial" w:cs="Arial"/>
                <w:b/>
                <w:bCs/>
                <w:color w:val="000000"/>
                <w:sz w:val="22"/>
                <w:szCs w:val="22"/>
                <w:lang w:eastAsia="en-GB"/>
              </w:rPr>
            </w:pPr>
          </w:p>
        </w:tc>
      </w:tr>
      <w:tr w:rsidR="003B42C7" w:rsidRPr="00CA5237" w14:paraId="1A0270D2" w14:textId="77777777" w:rsidTr="003B42C7">
        <w:trPr>
          <w:trHeight w:val="315"/>
        </w:trPr>
        <w:tc>
          <w:tcPr>
            <w:tcW w:w="2548" w:type="dxa"/>
            <w:tcBorders>
              <w:top w:val="nil"/>
              <w:left w:val="single" w:sz="8" w:space="0" w:color="auto"/>
              <w:bottom w:val="single" w:sz="4" w:space="0" w:color="auto"/>
              <w:right w:val="single" w:sz="8" w:space="0" w:color="auto"/>
            </w:tcBorders>
            <w:shd w:val="clear" w:color="auto" w:fill="auto"/>
            <w:noWrap/>
            <w:vAlign w:val="center"/>
            <w:hideMark/>
          </w:tcPr>
          <w:p w14:paraId="52A35586"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Surrey County Councils</w:t>
            </w:r>
          </w:p>
        </w:tc>
        <w:tc>
          <w:tcPr>
            <w:tcW w:w="1136" w:type="dxa"/>
            <w:tcBorders>
              <w:top w:val="nil"/>
              <w:left w:val="nil"/>
              <w:bottom w:val="single" w:sz="4" w:space="0" w:color="auto"/>
              <w:right w:val="nil"/>
            </w:tcBorders>
            <w:shd w:val="clear" w:color="auto" w:fill="auto"/>
            <w:noWrap/>
            <w:vAlign w:val="bottom"/>
            <w:hideMark/>
          </w:tcPr>
          <w:p w14:paraId="5F14C52D"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97%</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14:paraId="3ADD44D6" w14:textId="77777777" w:rsidR="003B42C7" w:rsidRPr="00CA5237" w:rsidRDefault="003B42C7" w:rsidP="003B42C7">
            <w:pPr>
              <w:jc w:val="center"/>
              <w:rPr>
                <w:rFonts w:ascii="Arial" w:hAnsi="Arial" w:cs="Arial"/>
                <w:sz w:val="22"/>
                <w:szCs w:val="22"/>
                <w:lang w:eastAsia="en-GB"/>
              </w:rPr>
            </w:pPr>
            <w:r w:rsidRPr="00CA5237">
              <w:rPr>
                <w:rFonts w:ascii="Arial" w:hAnsi="Arial" w:cs="Arial"/>
                <w:sz w:val="22"/>
                <w:szCs w:val="22"/>
                <w:lang w:eastAsia="en-GB"/>
              </w:rPr>
              <w:t>96%</w:t>
            </w:r>
          </w:p>
        </w:tc>
        <w:tc>
          <w:tcPr>
            <w:tcW w:w="1060" w:type="dxa"/>
            <w:tcBorders>
              <w:top w:val="single" w:sz="8" w:space="0" w:color="auto"/>
              <w:left w:val="nil"/>
              <w:bottom w:val="single" w:sz="4" w:space="0" w:color="auto"/>
              <w:right w:val="nil"/>
            </w:tcBorders>
            <w:shd w:val="clear" w:color="000000" w:fill="FFFF00"/>
            <w:noWrap/>
            <w:vAlign w:val="bottom"/>
            <w:hideMark/>
          </w:tcPr>
          <w:p w14:paraId="55A69863"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88.33%</w:t>
            </w:r>
          </w:p>
        </w:tc>
        <w:tc>
          <w:tcPr>
            <w:tcW w:w="880" w:type="dxa"/>
            <w:tcBorders>
              <w:top w:val="single" w:sz="8" w:space="0" w:color="auto"/>
              <w:left w:val="single" w:sz="8" w:space="0" w:color="auto"/>
              <w:bottom w:val="single" w:sz="4" w:space="0" w:color="auto"/>
              <w:right w:val="nil"/>
            </w:tcBorders>
            <w:shd w:val="clear" w:color="000000" w:fill="FFFF00"/>
            <w:noWrap/>
            <w:vAlign w:val="bottom"/>
            <w:hideMark/>
          </w:tcPr>
          <w:p w14:paraId="7330F537"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81.67%</w:t>
            </w:r>
          </w:p>
        </w:tc>
        <w:tc>
          <w:tcPr>
            <w:tcW w:w="900" w:type="dxa"/>
            <w:tcBorders>
              <w:top w:val="single" w:sz="8" w:space="0" w:color="auto"/>
              <w:left w:val="single" w:sz="8" w:space="0" w:color="auto"/>
              <w:bottom w:val="single" w:sz="4" w:space="0" w:color="auto"/>
              <w:right w:val="nil"/>
            </w:tcBorders>
            <w:shd w:val="clear" w:color="000000" w:fill="FFFF00"/>
            <w:noWrap/>
            <w:vAlign w:val="bottom"/>
            <w:hideMark/>
          </w:tcPr>
          <w:p w14:paraId="383C245C"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764BAE1E"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tcBorders>
              <w:top w:val="single" w:sz="8" w:space="0" w:color="auto"/>
              <w:left w:val="single" w:sz="8" w:space="0" w:color="auto"/>
              <w:bottom w:val="nil"/>
              <w:right w:val="single" w:sz="8" w:space="0" w:color="auto"/>
            </w:tcBorders>
            <w:vAlign w:val="center"/>
            <w:hideMark/>
          </w:tcPr>
          <w:p w14:paraId="5063A6CA" w14:textId="77777777" w:rsidR="003B42C7" w:rsidRPr="00CA5237" w:rsidRDefault="003B42C7" w:rsidP="003B42C7">
            <w:pPr>
              <w:rPr>
                <w:rFonts w:ascii="Arial" w:hAnsi="Arial" w:cs="Arial"/>
                <w:b/>
                <w:bCs/>
                <w:color w:val="000000"/>
                <w:sz w:val="22"/>
                <w:szCs w:val="22"/>
                <w:lang w:eastAsia="en-GB"/>
              </w:rPr>
            </w:pPr>
          </w:p>
        </w:tc>
      </w:tr>
      <w:tr w:rsidR="003B42C7" w:rsidRPr="00CA5237" w14:paraId="5C06307E" w14:textId="77777777" w:rsidTr="003B42C7">
        <w:trPr>
          <w:trHeight w:val="315"/>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14:paraId="6AAEEF2B" w14:textId="4B5059B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University Bus</w:t>
            </w:r>
          </w:p>
        </w:tc>
        <w:tc>
          <w:tcPr>
            <w:tcW w:w="1136" w:type="dxa"/>
            <w:tcBorders>
              <w:top w:val="nil"/>
              <w:left w:val="nil"/>
              <w:bottom w:val="single" w:sz="8" w:space="0" w:color="auto"/>
              <w:right w:val="nil"/>
            </w:tcBorders>
            <w:shd w:val="clear" w:color="auto" w:fill="auto"/>
            <w:noWrap/>
            <w:vAlign w:val="bottom"/>
            <w:hideMark/>
          </w:tcPr>
          <w:p w14:paraId="541A3E61"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77%</w:t>
            </w:r>
          </w:p>
        </w:tc>
        <w:tc>
          <w:tcPr>
            <w:tcW w:w="1268" w:type="dxa"/>
            <w:tcBorders>
              <w:top w:val="nil"/>
              <w:left w:val="single" w:sz="8" w:space="0" w:color="auto"/>
              <w:bottom w:val="single" w:sz="8" w:space="0" w:color="auto"/>
              <w:right w:val="single" w:sz="8" w:space="0" w:color="auto"/>
            </w:tcBorders>
            <w:shd w:val="clear" w:color="auto" w:fill="auto"/>
            <w:noWrap/>
            <w:vAlign w:val="bottom"/>
            <w:hideMark/>
          </w:tcPr>
          <w:p w14:paraId="0DD7EF73"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82%</w:t>
            </w:r>
          </w:p>
        </w:tc>
        <w:tc>
          <w:tcPr>
            <w:tcW w:w="1060" w:type="dxa"/>
            <w:tcBorders>
              <w:top w:val="single" w:sz="8" w:space="0" w:color="auto"/>
              <w:left w:val="nil"/>
              <w:bottom w:val="single" w:sz="8" w:space="0" w:color="auto"/>
              <w:right w:val="nil"/>
            </w:tcBorders>
            <w:shd w:val="clear" w:color="000000" w:fill="FFFF00"/>
            <w:noWrap/>
            <w:vAlign w:val="bottom"/>
            <w:hideMark/>
          </w:tcPr>
          <w:p w14:paraId="3009CAF2"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81.59%</w:t>
            </w:r>
          </w:p>
        </w:tc>
        <w:tc>
          <w:tcPr>
            <w:tcW w:w="880" w:type="dxa"/>
            <w:tcBorders>
              <w:top w:val="single" w:sz="8" w:space="0" w:color="auto"/>
              <w:left w:val="single" w:sz="8" w:space="0" w:color="auto"/>
              <w:bottom w:val="single" w:sz="8" w:space="0" w:color="auto"/>
              <w:right w:val="nil"/>
            </w:tcBorders>
            <w:shd w:val="clear" w:color="000000" w:fill="FFFF00"/>
            <w:noWrap/>
            <w:vAlign w:val="bottom"/>
            <w:hideMark/>
          </w:tcPr>
          <w:p w14:paraId="02BB7A4A"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81.59%</w:t>
            </w:r>
          </w:p>
        </w:tc>
        <w:tc>
          <w:tcPr>
            <w:tcW w:w="900" w:type="dxa"/>
            <w:tcBorders>
              <w:top w:val="single" w:sz="8" w:space="0" w:color="auto"/>
              <w:left w:val="single" w:sz="8" w:space="0" w:color="auto"/>
              <w:bottom w:val="single" w:sz="8" w:space="0" w:color="auto"/>
              <w:right w:val="nil"/>
            </w:tcBorders>
            <w:shd w:val="clear" w:color="000000" w:fill="FFFF00"/>
            <w:noWrap/>
            <w:vAlign w:val="bottom"/>
            <w:hideMark/>
          </w:tcPr>
          <w:p w14:paraId="6D4F0A39"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73.33%</w:t>
            </w:r>
          </w:p>
        </w:tc>
        <w:tc>
          <w:tcPr>
            <w:tcW w:w="96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0C482665"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66.67%</w:t>
            </w:r>
          </w:p>
        </w:tc>
        <w:tc>
          <w:tcPr>
            <w:tcW w:w="967" w:type="dxa"/>
            <w:vMerge/>
            <w:tcBorders>
              <w:top w:val="single" w:sz="8" w:space="0" w:color="auto"/>
              <w:left w:val="single" w:sz="8" w:space="0" w:color="auto"/>
              <w:bottom w:val="nil"/>
              <w:right w:val="single" w:sz="8" w:space="0" w:color="auto"/>
            </w:tcBorders>
            <w:vAlign w:val="center"/>
            <w:hideMark/>
          </w:tcPr>
          <w:p w14:paraId="46F5BAA5" w14:textId="77777777" w:rsidR="003B42C7" w:rsidRPr="00CA5237" w:rsidRDefault="003B42C7" w:rsidP="003B42C7">
            <w:pPr>
              <w:rPr>
                <w:rFonts w:ascii="Arial" w:hAnsi="Arial" w:cs="Arial"/>
                <w:b/>
                <w:bCs/>
                <w:color w:val="000000"/>
                <w:sz w:val="22"/>
                <w:szCs w:val="22"/>
                <w:lang w:eastAsia="en-GB"/>
              </w:rPr>
            </w:pPr>
          </w:p>
        </w:tc>
      </w:tr>
      <w:tr w:rsidR="003B42C7" w:rsidRPr="00CA5237" w14:paraId="48ECBF51" w14:textId="77777777" w:rsidTr="003B42C7">
        <w:trPr>
          <w:trHeight w:val="315"/>
        </w:trPr>
        <w:tc>
          <w:tcPr>
            <w:tcW w:w="2548" w:type="dxa"/>
            <w:tcBorders>
              <w:top w:val="nil"/>
              <w:left w:val="single" w:sz="8" w:space="0" w:color="auto"/>
              <w:bottom w:val="single" w:sz="8" w:space="0" w:color="auto"/>
              <w:right w:val="single" w:sz="8" w:space="0" w:color="auto"/>
            </w:tcBorders>
            <w:shd w:val="clear" w:color="000000" w:fill="BFBFBF"/>
            <w:noWrap/>
            <w:vAlign w:val="center"/>
            <w:hideMark/>
          </w:tcPr>
          <w:p w14:paraId="747F48D5"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Paid</w:t>
            </w:r>
          </w:p>
        </w:tc>
        <w:tc>
          <w:tcPr>
            <w:tcW w:w="1136" w:type="dxa"/>
            <w:tcBorders>
              <w:top w:val="nil"/>
              <w:left w:val="nil"/>
              <w:bottom w:val="single" w:sz="8" w:space="0" w:color="auto"/>
              <w:right w:val="nil"/>
            </w:tcBorders>
            <w:shd w:val="clear" w:color="000000" w:fill="BFBFBF"/>
            <w:noWrap/>
            <w:vAlign w:val="bottom"/>
            <w:hideMark/>
          </w:tcPr>
          <w:p w14:paraId="521A0545"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w:t>
            </w:r>
          </w:p>
        </w:tc>
        <w:tc>
          <w:tcPr>
            <w:tcW w:w="1268" w:type="dxa"/>
            <w:tcBorders>
              <w:top w:val="nil"/>
              <w:left w:val="single" w:sz="8" w:space="0" w:color="auto"/>
              <w:bottom w:val="single" w:sz="8" w:space="0" w:color="auto"/>
              <w:right w:val="single" w:sz="8" w:space="0" w:color="auto"/>
            </w:tcBorders>
            <w:shd w:val="clear" w:color="000000" w:fill="BFBFBF"/>
            <w:noWrap/>
            <w:vAlign w:val="bottom"/>
            <w:hideMark/>
          </w:tcPr>
          <w:p w14:paraId="4B490580"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88%</w:t>
            </w:r>
          </w:p>
        </w:tc>
        <w:tc>
          <w:tcPr>
            <w:tcW w:w="1060" w:type="dxa"/>
            <w:tcBorders>
              <w:top w:val="nil"/>
              <w:left w:val="nil"/>
              <w:bottom w:val="single" w:sz="8" w:space="0" w:color="auto"/>
              <w:right w:val="single" w:sz="8" w:space="0" w:color="auto"/>
            </w:tcBorders>
            <w:shd w:val="clear" w:color="000000" w:fill="BFBFBF"/>
            <w:noWrap/>
            <w:vAlign w:val="bottom"/>
            <w:hideMark/>
          </w:tcPr>
          <w:p w14:paraId="4B64ECBF"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81.23%</w:t>
            </w:r>
          </w:p>
        </w:tc>
        <w:tc>
          <w:tcPr>
            <w:tcW w:w="880" w:type="dxa"/>
            <w:tcBorders>
              <w:top w:val="nil"/>
              <w:left w:val="nil"/>
              <w:bottom w:val="single" w:sz="8" w:space="0" w:color="auto"/>
              <w:right w:val="single" w:sz="8" w:space="0" w:color="auto"/>
            </w:tcBorders>
            <w:shd w:val="clear" w:color="000000" w:fill="BFBFBF"/>
            <w:noWrap/>
            <w:vAlign w:val="bottom"/>
            <w:hideMark/>
          </w:tcPr>
          <w:p w14:paraId="79DB2EC7"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76.36%</w:t>
            </w:r>
          </w:p>
        </w:tc>
        <w:tc>
          <w:tcPr>
            <w:tcW w:w="900" w:type="dxa"/>
            <w:tcBorders>
              <w:top w:val="nil"/>
              <w:left w:val="nil"/>
              <w:bottom w:val="single" w:sz="8" w:space="0" w:color="auto"/>
              <w:right w:val="single" w:sz="8" w:space="0" w:color="auto"/>
            </w:tcBorders>
            <w:shd w:val="clear" w:color="000000" w:fill="BFBFBF"/>
            <w:noWrap/>
            <w:vAlign w:val="bottom"/>
            <w:hideMark/>
          </w:tcPr>
          <w:p w14:paraId="689E8EDD"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69.64%</w:t>
            </w:r>
          </w:p>
        </w:tc>
        <w:tc>
          <w:tcPr>
            <w:tcW w:w="960" w:type="dxa"/>
            <w:tcBorders>
              <w:top w:val="nil"/>
              <w:left w:val="nil"/>
              <w:bottom w:val="single" w:sz="8" w:space="0" w:color="auto"/>
              <w:right w:val="single" w:sz="8" w:space="0" w:color="auto"/>
            </w:tcBorders>
            <w:shd w:val="clear" w:color="000000" w:fill="BFBFBF"/>
            <w:noWrap/>
            <w:vAlign w:val="bottom"/>
            <w:hideMark/>
          </w:tcPr>
          <w:p w14:paraId="25DB96D1"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64.27%</w:t>
            </w:r>
          </w:p>
        </w:tc>
        <w:tc>
          <w:tcPr>
            <w:tcW w:w="967" w:type="dxa"/>
            <w:vMerge/>
            <w:tcBorders>
              <w:top w:val="single" w:sz="8" w:space="0" w:color="auto"/>
              <w:left w:val="single" w:sz="8" w:space="0" w:color="auto"/>
              <w:bottom w:val="nil"/>
              <w:right w:val="single" w:sz="8" w:space="0" w:color="auto"/>
            </w:tcBorders>
            <w:vAlign w:val="center"/>
            <w:hideMark/>
          </w:tcPr>
          <w:p w14:paraId="7435A44B" w14:textId="77777777" w:rsidR="003B42C7" w:rsidRPr="00CA5237" w:rsidRDefault="003B42C7" w:rsidP="003B42C7">
            <w:pPr>
              <w:rPr>
                <w:rFonts w:ascii="Arial" w:hAnsi="Arial" w:cs="Arial"/>
                <w:b/>
                <w:bCs/>
                <w:color w:val="000000"/>
                <w:sz w:val="22"/>
                <w:szCs w:val="22"/>
                <w:lang w:eastAsia="en-GB"/>
              </w:rPr>
            </w:pPr>
          </w:p>
        </w:tc>
      </w:tr>
      <w:tr w:rsidR="003B42C7" w:rsidRPr="00CA5237" w14:paraId="49E37C94" w14:textId="77777777" w:rsidTr="003B42C7">
        <w:trPr>
          <w:trHeight w:val="315"/>
        </w:trPr>
        <w:tc>
          <w:tcPr>
            <w:tcW w:w="2548" w:type="dxa"/>
            <w:tcBorders>
              <w:top w:val="nil"/>
              <w:left w:val="single" w:sz="8" w:space="0" w:color="auto"/>
              <w:bottom w:val="single" w:sz="8" w:space="0" w:color="auto"/>
              <w:right w:val="single" w:sz="8" w:space="0" w:color="auto"/>
            </w:tcBorders>
            <w:shd w:val="clear" w:color="auto" w:fill="auto"/>
            <w:noWrap/>
            <w:vAlign w:val="center"/>
            <w:hideMark/>
          </w:tcPr>
          <w:p w14:paraId="3D7459D2" w14:textId="77777777" w:rsidR="003B42C7" w:rsidRPr="00CA5237" w:rsidRDefault="003B42C7" w:rsidP="003B42C7">
            <w:pPr>
              <w:rPr>
                <w:rFonts w:ascii="Arial" w:hAnsi="Arial" w:cs="Arial"/>
                <w:b/>
                <w:bCs/>
                <w:color w:val="000000"/>
                <w:sz w:val="22"/>
                <w:szCs w:val="22"/>
                <w:lang w:eastAsia="en-GB"/>
              </w:rPr>
            </w:pPr>
            <w:r w:rsidRPr="00CA5237">
              <w:rPr>
                <w:rFonts w:ascii="Arial" w:hAnsi="Arial" w:cs="Arial"/>
                <w:b/>
                <w:bCs/>
                <w:color w:val="000000"/>
                <w:sz w:val="22"/>
                <w:szCs w:val="22"/>
                <w:lang w:eastAsia="en-GB"/>
              </w:rPr>
              <w:t>Actuals</w:t>
            </w:r>
          </w:p>
        </w:tc>
        <w:tc>
          <w:tcPr>
            <w:tcW w:w="1136" w:type="dxa"/>
            <w:tcBorders>
              <w:top w:val="nil"/>
              <w:left w:val="nil"/>
              <w:bottom w:val="single" w:sz="8" w:space="0" w:color="auto"/>
              <w:right w:val="nil"/>
            </w:tcBorders>
            <w:shd w:val="clear" w:color="auto" w:fill="auto"/>
            <w:noWrap/>
            <w:vAlign w:val="bottom"/>
            <w:hideMark/>
          </w:tcPr>
          <w:p w14:paraId="33A6AD80"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34%</w:t>
            </w:r>
          </w:p>
        </w:tc>
        <w:tc>
          <w:tcPr>
            <w:tcW w:w="1268" w:type="dxa"/>
            <w:tcBorders>
              <w:top w:val="nil"/>
              <w:left w:val="single" w:sz="8" w:space="0" w:color="auto"/>
              <w:bottom w:val="single" w:sz="8" w:space="0" w:color="auto"/>
              <w:right w:val="single" w:sz="8" w:space="0" w:color="auto"/>
            </w:tcBorders>
            <w:shd w:val="clear" w:color="auto" w:fill="auto"/>
            <w:noWrap/>
            <w:vAlign w:val="bottom"/>
            <w:hideMark/>
          </w:tcPr>
          <w:p w14:paraId="1C5AC3AC" w14:textId="77777777" w:rsidR="003B42C7" w:rsidRPr="00CA5237" w:rsidRDefault="003B42C7" w:rsidP="003B42C7">
            <w:pPr>
              <w:jc w:val="center"/>
              <w:rPr>
                <w:rFonts w:ascii="Arial" w:hAnsi="Arial" w:cs="Arial"/>
                <w:color w:val="000000"/>
                <w:sz w:val="22"/>
                <w:szCs w:val="22"/>
                <w:lang w:eastAsia="en-GB"/>
              </w:rPr>
            </w:pPr>
            <w:r w:rsidRPr="00CA5237">
              <w:rPr>
                <w:rFonts w:ascii="Arial" w:hAnsi="Arial" w:cs="Arial"/>
                <w:color w:val="000000"/>
                <w:sz w:val="22"/>
                <w:szCs w:val="22"/>
                <w:lang w:eastAsia="en-GB"/>
              </w:rPr>
              <w:t>48%</w:t>
            </w:r>
          </w:p>
        </w:tc>
        <w:tc>
          <w:tcPr>
            <w:tcW w:w="1060" w:type="dxa"/>
            <w:tcBorders>
              <w:top w:val="nil"/>
              <w:left w:val="nil"/>
              <w:bottom w:val="single" w:sz="8" w:space="0" w:color="auto"/>
              <w:right w:val="nil"/>
            </w:tcBorders>
            <w:shd w:val="clear" w:color="auto" w:fill="auto"/>
            <w:noWrap/>
            <w:vAlign w:val="bottom"/>
            <w:hideMark/>
          </w:tcPr>
          <w:p w14:paraId="61114B7D" w14:textId="77777777" w:rsidR="003B42C7" w:rsidRPr="00CA5237" w:rsidRDefault="003B42C7" w:rsidP="003B42C7">
            <w:pPr>
              <w:rPr>
                <w:rFonts w:ascii="Arial" w:hAnsi="Arial" w:cs="Arial"/>
                <w:color w:val="000000"/>
                <w:sz w:val="22"/>
                <w:szCs w:val="22"/>
                <w:lang w:eastAsia="en-GB"/>
              </w:rPr>
            </w:pPr>
            <w:r w:rsidRPr="00CA5237">
              <w:rPr>
                <w:rFonts w:ascii="Arial" w:hAnsi="Arial" w:cs="Arial"/>
                <w:color w:val="000000"/>
                <w:sz w:val="22"/>
                <w:szCs w:val="22"/>
                <w:lang w:eastAsia="en-GB"/>
              </w:rPr>
              <w:t> </w:t>
            </w:r>
          </w:p>
        </w:tc>
        <w:tc>
          <w:tcPr>
            <w:tcW w:w="880" w:type="dxa"/>
            <w:tcBorders>
              <w:top w:val="nil"/>
              <w:left w:val="nil"/>
              <w:bottom w:val="single" w:sz="8" w:space="0" w:color="auto"/>
              <w:right w:val="nil"/>
            </w:tcBorders>
            <w:shd w:val="clear" w:color="auto" w:fill="auto"/>
            <w:noWrap/>
            <w:vAlign w:val="bottom"/>
            <w:hideMark/>
          </w:tcPr>
          <w:p w14:paraId="6F89E87A" w14:textId="77777777" w:rsidR="003B42C7" w:rsidRPr="00CA5237" w:rsidRDefault="003B42C7" w:rsidP="003B42C7">
            <w:pPr>
              <w:rPr>
                <w:rFonts w:ascii="Arial" w:hAnsi="Arial" w:cs="Arial"/>
                <w:color w:val="000000"/>
                <w:sz w:val="22"/>
                <w:szCs w:val="22"/>
                <w:lang w:eastAsia="en-GB"/>
              </w:rPr>
            </w:pPr>
            <w:r w:rsidRPr="00CA5237">
              <w:rPr>
                <w:rFonts w:ascii="Arial" w:hAnsi="Arial" w:cs="Arial"/>
                <w:color w:val="000000"/>
                <w:sz w:val="22"/>
                <w:szCs w:val="22"/>
                <w:lang w:eastAsia="en-GB"/>
              </w:rPr>
              <w:t> </w:t>
            </w:r>
          </w:p>
        </w:tc>
        <w:tc>
          <w:tcPr>
            <w:tcW w:w="900" w:type="dxa"/>
            <w:tcBorders>
              <w:top w:val="nil"/>
              <w:left w:val="nil"/>
              <w:bottom w:val="single" w:sz="8" w:space="0" w:color="auto"/>
              <w:right w:val="nil"/>
            </w:tcBorders>
            <w:shd w:val="clear" w:color="auto" w:fill="auto"/>
            <w:noWrap/>
            <w:vAlign w:val="bottom"/>
            <w:hideMark/>
          </w:tcPr>
          <w:p w14:paraId="18A88A02" w14:textId="77777777" w:rsidR="003B42C7" w:rsidRPr="00CA5237" w:rsidRDefault="003B42C7" w:rsidP="003B42C7">
            <w:pPr>
              <w:rPr>
                <w:rFonts w:ascii="Arial" w:hAnsi="Arial" w:cs="Arial"/>
                <w:color w:val="000000"/>
                <w:sz w:val="22"/>
                <w:szCs w:val="22"/>
                <w:lang w:eastAsia="en-GB"/>
              </w:rPr>
            </w:pPr>
            <w:r w:rsidRPr="00CA5237">
              <w:rPr>
                <w:rFonts w:ascii="Arial" w:hAnsi="Arial" w:cs="Arial"/>
                <w:color w:val="000000"/>
                <w:sz w:val="22"/>
                <w:szCs w:val="22"/>
                <w:lang w:eastAsia="en-GB"/>
              </w:rPr>
              <w:t> </w:t>
            </w:r>
          </w:p>
        </w:tc>
        <w:tc>
          <w:tcPr>
            <w:tcW w:w="960" w:type="dxa"/>
            <w:tcBorders>
              <w:top w:val="nil"/>
              <w:left w:val="nil"/>
              <w:bottom w:val="single" w:sz="8" w:space="0" w:color="auto"/>
              <w:right w:val="nil"/>
            </w:tcBorders>
            <w:shd w:val="clear" w:color="auto" w:fill="auto"/>
            <w:noWrap/>
            <w:vAlign w:val="bottom"/>
            <w:hideMark/>
          </w:tcPr>
          <w:p w14:paraId="14C3219B" w14:textId="77777777" w:rsidR="003B42C7" w:rsidRPr="00CA5237" w:rsidRDefault="003B42C7" w:rsidP="003B42C7">
            <w:pPr>
              <w:rPr>
                <w:rFonts w:ascii="Arial" w:hAnsi="Arial" w:cs="Arial"/>
                <w:color w:val="000000"/>
                <w:sz w:val="22"/>
                <w:szCs w:val="22"/>
                <w:lang w:eastAsia="en-GB"/>
              </w:rPr>
            </w:pPr>
            <w:r w:rsidRPr="00CA5237">
              <w:rPr>
                <w:rFonts w:ascii="Arial" w:hAnsi="Arial" w:cs="Arial"/>
                <w:color w:val="000000"/>
                <w:sz w:val="22"/>
                <w:szCs w:val="22"/>
                <w:lang w:eastAsia="en-GB"/>
              </w:rPr>
              <w:t> </w:t>
            </w:r>
          </w:p>
        </w:tc>
        <w:tc>
          <w:tcPr>
            <w:tcW w:w="967" w:type="dxa"/>
            <w:tcBorders>
              <w:top w:val="nil"/>
              <w:left w:val="nil"/>
              <w:bottom w:val="single" w:sz="8" w:space="0" w:color="auto"/>
              <w:right w:val="single" w:sz="8" w:space="0" w:color="auto"/>
            </w:tcBorders>
            <w:shd w:val="clear" w:color="auto" w:fill="auto"/>
            <w:noWrap/>
            <w:vAlign w:val="bottom"/>
            <w:hideMark/>
          </w:tcPr>
          <w:p w14:paraId="1CECF799" w14:textId="77777777" w:rsidR="003B42C7" w:rsidRPr="00CA5237" w:rsidRDefault="003B42C7" w:rsidP="003B42C7">
            <w:pPr>
              <w:rPr>
                <w:rFonts w:ascii="Arial" w:hAnsi="Arial" w:cs="Arial"/>
                <w:color w:val="000000"/>
                <w:sz w:val="22"/>
                <w:szCs w:val="22"/>
                <w:lang w:eastAsia="en-GB"/>
              </w:rPr>
            </w:pPr>
            <w:r w:rsidRPr="00CA5237">
              <w:rPr>
                <w:rFonts w:ascii="Arial" w:hAnsi="Arial" w:cs="Arial"/>
                <w:color w:val="000000"/>
                <w:sz w:val="22"/>
                <w:szCs w:val="22"/>
                <w:lang w:eastAsia="en-GB"/>
              </w:rPr>
              <w:t> </w:t>
            </w:r>
          </w:p>
        </w:tc>
      </w:tr>
    </w:tbl>
    <w:p w14:paraId="797DBC63" w14:textId="77777777" w:rsidR="003B42C7" w:rsidRPr="00CA5237" w:rsidRDefault="003B42C7" w:rsidP="00DA43D8">
      <w:pPr>
        <w:rPr>
          <w:rFonts w:ascii="Arial" w:hAnsi="Arial" w:cs="Arial"/>
          <w:sz w:val="22"/>
          <w:szCs w:val="22"/>
        </w:rPr>
      </w:pPr>
    </w:p>
    <w:p w14:paraId="72D3D335" w14:textId="435A7EC2" w:rsidR="00382783" w:rsidRPr="00CA5237" w:rsidRDefault="00382783" w:rsidP="00DA43D8">
      <w:pPr>
        <w:rPr>
          <w:rFonts w:ascii="Arial" w:hAnsi="Arial" w:cs="Arial"/>
          <w:sz w:val="22"/>
          <w:szCs w:val="22"/>
        </w:rPr>
      </w:pPr>
    </w:p>
    <w:p w14:paraId="01BD9E8A" w14:textId="534F53DD" w:rsidR="00382783" w:rsidRPr="00CA5237" w:rsidRDefault="00382783" w:rsidP="00DA43D8">
      <w:pPr>
        <w:rPr>
          <w:rFonts w:ascii="Arial" w:hAnsi="Arial" w:cs="Arial"/>
          <w:sz w:val="22"/>
          <w:szCs w:val="22"/>
        </w:rPr>
      </w:pPr>
    </w:p>
    <w:p w14:paraId="748392C3" w14:textId="77777777" w:rsidR="00D27E1E" w:rsidRPr="00CA5237" w:rsidRDefault="00D27E1E" w:rsidP="00DA43D8">
      <w:pPr>
        <w:rPr>
          <w:rFonts w:ascii="Arial" w:hAnsi="Arial" w:cs="Arial"/>
          <w:sz w:val="22"/>
          <w:szCs w:val="22"/>
        </w:rPr>
      </w:pPr>
    </w:p>
    <w:p w14:paraId="25511BAE" w14:textId="139C76BB" w:rsidR="003B42C7" w:rsidRPr="00CA5237" w:rsidRDefault="00D27E1E" w:rsidP="00DA43D8">
      <w:pPr>
        <w:rPr>
          <w:rFonts w:ascii="Arial" w:hAnsi="Arial" w:cs="Arial"/>
          <w:sz w:val="22"/>
          <w:szCs w:val="22"/>
        </w:rPr>
      </w:pPr>
      <w:r w:rsidRPr="00CA5237">
        <w:rPr>
          <w:rFonts w:ascii="Arial" w:hAnsi="Arial" w:cs="Arial"/>
          <w:sz w:val="22"/>
          <w:szCs w:val="22"/>
        </w:rPr>
        <w:t xml:space="preserve">Below are the addendums issued in April 2021 and April 2020 </w:t>
      </w:r>
    </w:p>
    <w:p w14:paraId="54032404" w14:textId="1789A1F8" w:rsidR="00382783" w:rsidRPr="00CA5237" w:rsidRDefault="00382783" w:rsidP="00DA43D8">
      <w:pPr>
        <w:rPr>
          <w:rFonts w:ascii="Arial" w:hAnsi="Arial" w:cs="Arial"/>
          <w:sz w:val="22"/>
          <w:szCs w:val="22"/>
        </w:rPr>
      </w:pPr>
    </w:p>
    <w:p w14:paraId="16176BE1" w14:textId="1B9266D7" w:rsidR="00382783" w:rsidRPr="00CA5237" w:rsidRDefault="00382783" w:rsidP="00DA43D8">
      <w:pPr>
        <w:rPr>
          <w:rFonts w:ascii="Arial" w:hAnsi="Arial" w:cs="Arial"/>
          <w:sz w:val="22"/>
          <w:szCs w:val="22"/>
        </w:rPr>
      </w:pPr>
    </w:p>
    <w:p w14:paraId="12DED110" w14:textId="6284C074" w:rsidR="003F41D0" w:rsidRPr="00CA5237" w:rsidRDefault="003F41D0" w:rsidP="00DA43D8">
      <w:pPr>
        <w:rPr>
          <w:rFonts w:ascii="Arial" w:hAnsi="Arial" w:cs="Arial"/>
          <w:sz w:val="22"/>
          <w:szCs w:val="22"/>
        </w:rPr>
      </w:pPr>
    </w:p>
    <w:p w14:paraId="3516B0A6" w14:textId="77777777" w:rsidR="00DA43D8" w:rsidRPr="00CA5237" w:rsidRDefault="00DA43D8" w:rsidP="00DA43D8">
      <w:pPr>
        <w:rPr>
          <w:rFonts w:ascii="Arial" w:hAnsi="Arial" w:cs="Arial"/>
          <w:sz w:val="22"/>
          <w:szCs w:val="22"/>
        </w:rPr>
      </w:pPr>
    </w:p>
    <w:p w14:paraId="4283AE0A" w14:textId="17556974" w:rsidR="00DA43D8" w:rsidRPr="00CA5237" w:rsidRDefault="00DA43D8" w:rsidP="00DA43D8">
      <w:pPr>
        <w:rPr>
          <w:rFonts w:ascii="Arial" w:hAnsi="Arial" w:cs="Arial"/>
          <w:bCs/>
          <w:sz w:val="22"/>
          <w:szCs w:val="22"/>
        </w:rPr>
      </w:pPr>
      <w:r w:rsidRPr="00CA5237">
        <w:rPr>
          <w:rFonts w:ascii="Arial" w:hAnsi="Arial" w:cs="Arial"/>
          <w:b/>
          <w:bCs/>
          <w:sz w:val="22"/>
          <w:szCs w:val="22"/>
          <w:u w:val="single"/>
        </w:rPr>
        <w:t xml:space="preserve">ADDENDUM </w:t>
      </w:r>
      <w:r w:rsidR="00D27E1E" w:rsidRPr="00CA5237">
        <w:rPr>
          <w:rFonts w:ascii="Arial" w:hAnsi="Arial" w:cs="Arial"/>
          <w:b/>
          <w:bCs/>
          <w:sz w:val="22"/>
          <w:szCs w:val="22"/>
          <w:u w:val="single"/>
        </w:rPr>
        <w:t>2</w:t>
      </w:r>
      <w:r w:rsidRPr="00CA5237">
        <w:rPr>
          <w:rFonts w:ascii="Arial" w:hAnsi="Arial" w:cs="Arial"/>
          <w:b/>
          <w:bCs/>
          <w:sz w:val="22"/>
          <w:szCs w:val="22"/>
          <w:u w:val="single"/>
        </w:rPr>
        <w:t xml:space="preserve"> – RESPONSE TO COVID-19</w:t>
      </w:r>
      <w:r w:rsidRPr="00CA5237">
        <w:rPr>
          <w:rFonts w:ascii="Arial" w:hAnsi="Arial" w:cs="Arial"/>
          <w:b/>
          <w:bCs/>
          <w:sz w:val="22"/>
          <w:szCs w:val="22"/>
        </w:rPr>
        <w:t xml:space="preserve">: ISSUED ON 1 April 2021 </w:t>
      </w:r>
    </w:p>
    <w:p w14:paraId="50B89863" w14:textId="77777777" w:rsidR="00DA43D8" w:rsidRPr="00CA5237" w:rsidRDefault="00DA43D8" w:rsidP="00DA43D8">
      <w:pPr>
        <w:rPr>
          <w:rFonts w:ascii="Arial" w:hAnsi="Arial" w:cs="Arial"/>
          <w:sz w:val="22"/>
          <w:szCs w:val="22"/>
        </w:rPr>
      </w:pPr>
    </w:p>
    <w:p w14:paraId="54BAF73D" w14:textId="77777777" w:rsidR="00DA43D8" w:rsidRPr="00CA5237" w:rsidRDefault="00DA43D8" w:rsidP="00DA43D8">
      <w:pPr>
        <w:pStyle w:val="ListParagraph"/>
        <w:numPr>
          <w:ilvl w:val="0"/>
          <w:numId w:val="16"/>
        </w:numPr>
        <w:ind w:left="567" w:hanging="567"/>
        <w:rPr>
          <w:rFonts w:cs="Arial"/>
          <w:b/>
          <w:bCs/>
          <w:u w:val="single"/>
        </w:rPr>
      </w:pPr>
      <w:r w:rsidRPr="00CA5237">
        <w:rPr>
          <w:rFonts w:cs="Arial"/>
          <w:b/>
          <w:bCs/>
          <w:u w:val="single"/>
        </w:rPr>
        <w:t>Purpose &amp; Scope:</w:t>
      </w:r>
    </w:p>
    <w:p w14:paraId="23ABC0DE" w14:textId="6C70A261" w:rsidR="00DA43D8" w:rsidRPr="00CA5237" w:rsidRDefault="00DA43D8" w:rsidP="00DA43D8">
      <w:pPr>
        <w:rPr>
          <w:rFonts w:ascii="Arial" w:hAnsi="Arial" w:cs="Arial"/>
          <w:sz w:val="22"/>
          <w:szCs w:val="22"/>
        </w:rPr>
      </w:pPr>
      <w:r w:rsidRPr="00CA5237">
        <w:rPr>
          <w:rFonts w:ascii="Arial" w:hAnsi="Arial" w:cs="Arial"/>
          <w:sz w:val="22"/>
          <w:szCs w:val="22"/>
        </w:rPr>
        <w:t xml:space="preserve">In light of social distancing measures introduced by HM Government in response to the coronavirus / Covid-19 health pandemic in 2020 and 2021 and in line with Department for Transport guidance and restrictions on travel for older persons Freedom Pass holders during the morning peak on the TfL network being introduced from 15 June 2020, London Councils Transport and Environment Committee has (acting for and on behalf of itself and the 33 London local authorities) authorised </w:t>
      </w:r>
      <w:r w:rsidRPr="00CA5237">
        <w:rPr>
          <w:rFonts w:ascii="Arial" w:hAnsi="Arial" w:cs="Arial"/>
          <w:sz w:val="22"/>
          <w:szCs w:val="22"/>
          <w:u w:val="single"/>
        </w:rPr>
        <w:t xml:space="preserve">extraordinary and temporary variations </w:t>
      </w:r>
      <w:r w:rsidRPr="00CA5237">
        <w:rPr>
          <w:rFonts w:ascii="Arial" w:hAnsi="Arial" w:cs="Arial"/>
          <w:sz w:val="22"/>
          <w:szCs w:val="22"/>
        </w:rPr>
        <w:t xml:space="preserve">to the London Concessionary Bus Schemes 2020/21 and 2021/22 (“the Scheme(s)”) which operate as part of the London Concessionary Fares Scheme (otherwise known as the “Freedom Pass”), subject to reaching agreement with the </w:t>
      </w:r>
      <w:r w:rsidRPr="00CA5237">
        <w:rPr>
          <w:rFonts w:ascii="Arial" w:hAnsi="Arial" w:cs="Arial"/>
          <w:sz w:val="22"/>
          <w:szCs w:val="22"/>
        </w:rPr>
        <w:lastRenderedPageBreak/>
        <w:t>London Service Permits Operators (LSP Operators) to these variations as provided in section 149(2)(a) of the Transport Act 2000.</w:t>
      </w:r>
    </w:p>
    <w:p w14:paraId="0F12D919" w14:textId="77777777" w:rsidR="00DA43D8" w:rsidRPr="00CA5237" w:rsidRDefault="00DA43D8" w:rsidP="00DA43D8">
      <w:pPr>
        <w:rPr>
          <w:rFonts w:ascii="Arial" w:hAnsi="Arial" w:cs="Arial"/>
          <w:sz w:val="22"/>
          <w:szCs w:val="22"/>
        </w:rPr>
      </w:pPr>
    </w:p>
    <w:p w14:paraId="611F3C64" w14:textId="3D60A956" w:rsidR="00DA43D8" w:rsidRPr="00CA5237" w:rsidRDefault="00DA43D8" w:rsidP="00DA43D8">
      <w:pPr>
        <w:rPr>
          <w:rFonts w:ascii="Arial" w:hAnsi="Arial" w:cs="Arial"/>
          <w:i/>
          <w:iCs/>
          <w:sz w:val="22"/>
          <w:szCs w:val="22"/>
        </w:rPr>
      </w:pPr>
      <w:r w:rsidRPr="00CA5237">
        <w:rPr>
          <w:rFonts w:ascii="Arial" w:hAnsi="Arial" w:cs="Arial"/>
          <w:i/>
          <w:iCs/>
          <w:sz w:val="22"/>
          <w:szCs w:val="22"/>
        </w:rPr>
        <w:t>For the avoidance of doubt, the variations in this Addendum do not set any precedent for any future schemes and may be removed or varied to reflect new DfT Guidance and/or a decision of London Councils Transport and Environment Committee.</w:t>
      </w:r>
    </w:p>
    <w:p w14:paraId="065CBDE5" w14:textId="77777777" w:rsidR="00DA43D8" w:rsidRPr="00CA5237" w:rsidRDefault="00DA43D8" w:rsidP="00DA43D8">
      <w:pPr>
        <w:rPr>
          <w:rFonts w:ascii="Arial" w:hAnsi="Arial" w:cs="Arial"/>
          <w:sz w:val="22"/>
          <w:szCs w:val="22"/>
        </w:rPr>
      </w:pPr>
    </w:p>
    <w:p w14:paraId="2EEDAD72" w14:textId="77777777" w:rsidR="00DA43D8" w:rsidRPr="00CA5237" w:rsidRDefault="00DA43D8" w:rsidP="00DA43D8">
      <w:pPr>
        <w:pStyle w:val="ListParagraph"/>
        <w:numPr>
          <w:ilvl w:val="0"/>
          <w:numId w:val="16"/>
        </w:numPr>
        <w:ind w:left="567" w:hanging="567"/>
        <w:rPr>
          <w:rFonts w:cs="Arial"/>
          <w:b/>
          <w:bCs/>
          <w:u w:val="single"/>
        </w:rPr>
      </w:pPr>
      <w:r w:rsidRPr="00CA5237">
        <w:rPr>
          <w:rFonts w:cs="Arial"/>
          <w:b/>
          <w:bCs/>
          <w:u w:val="single"/>
        </w:rPr>
        <w:t>Variations &amp; Conditions:</w:t>
      </w:r>
    </w:p>
    <w:p w14:paraId="6F23AB2E" w14:textId="66752B5F" w:rsidR="00DA43D8" w:rsidRPr="00CA5237" w:rsidRDefault="00DA43D8" w:rsidP="00DA43D8">
      <w:pPr>
        <w:rPr>
          <w:rFonts w:ascii="Arial" w:hAnsi="Arial" w:cs="Arial"/>
          <w:sz w:val="22"/>
          <w:szCs w:val="22"/>
        </w:rPr>
      </w:pPr>
      <w:r w:rsidRPr="00CA5237">
        <w:rPr>
          <w:rFonts w:ascii="Arial" w:hAnsi="Arial" w:cs="Arial"/>
          <w:sz w:val="22"/>
          <w:szCs w:val="22"/>
        </w:rPr>
        <w:t>The variations to the Schemes are, effective from 1 January 2021:</w:t>
      </w:r>
    </w:p>
    <w:p w14:paraId="466AE977" w14:textId="77777777" w:rsidR="00DA43D8" w:rsidRPr="00CA5237" w:rsidRDefault="00DA43D8" w:rsidP="00DA43D8">
      <w:pPr>
        <w:rPr>
          <w:rFonts w:ascii="Arial" w:hAnsi="Arial" w:cs="Arial"/>
          <w:sz w:val="22"/>
          <w:szCs w:val="22"/>
        </w:rPr>
      </w:pPr>
    </w:p>
    <w:p w14:paraId="0E8B477C" w14:textId="77777777" w:rsidR="00DA43D8" w:rsidRPr="00CA5237" w:rsidRDefault="00DA43D8" w:rsidP="00DA43D8">
      <w:pPr>
        <w:pStyle w:val="ListParagraph"/>
        <w:numPr>
          <w:ilvl w:val="0"/>
          <w:numId w:val="17"/>
        </w:numPr>
        <w:rPr>
          <w:rFonts w:cs="Arial"/>
        </w:rPr>
      </w:pPr>
      <w:r w:rsidRPr="00CA5237" w:rsidDel="007242E6">
        <w:rPr>
          <w:rFonts w:cs="Arial"/>
        </w:rPr>
        <w:t xml:space="preserve">An extension to the hours of operation of the </w:t>
      </w:r>
      <w:r w:rsidRPr="00CA5237">
        <w:rPr>
          <w:rFonts w:cs="Arial"/>
        </w:rPr>
        <w:t>S</w:t>
      </w:r>
      <w:r w:rsidRPr="00CA5237" w:rsidDel="007242E6">
        <w:rPr>
          <w:rFonts w:cs="Arial"/>
        </w:rPr>
        <w:t>chemes (currently 9.30am to 11pm) to allow travel 24 hours per day</w:t>
      </w:r>
      <w:r w:rsidRPr="00CA5237">
        <w:rPr>
          <w:rFonts w:cs="Arial"/>
        </w:rPr>
        <w:t xml:space="preserve"> for disabled persons Freedom Pass holders</w:t>
      </w:r>
      <w:r w:rsidRPr="00CA5237" w:rsidDel="007242E6">
        <w:rPr>
          <w:rFonts w:cs="Arial"/>
        </w:rPr>
        <w:t>;</w:t>
      </w:r>
    </w:p>
    <w:p w14:paraId="10421DF1" w14:textId="02CD705E" w:rsidR="00DA43D8" w:rsidRPr="00CA5237" w:rsidDel="007242E6" w:rsidRDefault="00DA43D8" w:rsidP="00DA43D8">
      <w:pPr>
        <w:pStyle w:val="ListParagraph"/>
        <w:numPr>
          <w:ilvl w:val="0"/>
          <w:numId w:val="17"/>
        </w:numPr>
        <w:ind w:hanging="436"/>
        <w:rPr>
          <w:rFonts w:cs="Arial"/>
        </w:rPr>
      </w:pPr>
      <w:r w:rsidRPr="00CA5237">
        <w:rPr>
          <w:rFonts w:cs="Arial"/>
        </w:rPr>
        <w:t>A return to the statutory hours of operation (09:30 – 11:00</w:t>
      </w:r>
      <w:r w:rsidR="00D40A89" w:rsidRPr="00CA5237">
        <w:rPr>
          <w:rFonts w:cs="Arial"/>
        </w:rPr>
        <w:t>pm</w:t>
      </w:r>
      <w:r w:rsidR="009879E3" w:rsidRPr="00CA5237">
        <w:rPr>
          <w:rFonts w:cs="Arial"/>
        </w:rPr>
        <w:t>)</w:t>
      </w:r>
      <w:r w:rsidR="003F4C5C" w:rsidRPr="00CA5237">
        <w:rPr>
          <w:rFonts w:cs="Arial"/>
        </w:rPr>
        <w:t xml:space="preserve"> M</w:t>
      </w:r>
      <w:r w:rsidR="009879E3" w:rsidRPr="00CA5237">
        <w:rPr>
          <w:rFonts w:cs="Arial"/>
        </w:rPr>
        <w:t>onday</w:t>
      </w:r>
      <w:r w:rsidR="003F4C5C" w:rsidRPr="00CA5237">
        <w:rPr>
          <w:rFonts w:cs="Arial"/>
        </w:rPr>
        <w:t>-F</w:t>
      </w:r>
      <w:r w:rsidR="009879E3" w:rsidRPr="00CA5237">
        <w:rPr>
          <w:rFonts w:cs="Arial"/>
        </w:rPr>
        <w:t>riday</w:t>
      </w:r>
      <w:r w:rsidR="003F4C5C" w:rsidRPr="00CA5237">
        <w:rPr>
          <w:rFonts w:cs="Arial"/>
        </w:rPr>
        <w:t>, anytime on bank holidays and weekends</w:t>
      </w:r>
      <w:r w:rsidR="009879E3" w:rsidRPr="00CA5237">
        <w:rPr>
          <w:rFonts w:cs="Arial"/>
        </w:rPr>
        <w:t xml:space="preserve"> </w:t>
      </w:r>
      <w:r w:rsidRPr="00CA5237">
        <w:rPr>
          <w:rFonts w:cs="Arial"/>
        </w:rPr>
        <w:t>for older persons Freedom Pass holders and ENCTS pass holders.</w:t>
      </w:r>
    </w:p>
    <w:p w14:paraId="53835B60" w14:textId="2AB6CB65" w:rsidR="00DA43D8" w:rsidRPr="00CA5237" w:rsidRDefault="00DA43D8" w:rsidP="00DA43D8">
      <w:pPr>
        <w:pStyle w:val="ListParagraph"/>
        <w:numPr>
          <w:ilvl w:val="0"/>
          <w:numId w:val="17"/>
        </w:numPr>
        <w:ind w:hanging="436"/>
        <w:rPr>
          <w:rFonts w:cs="Arial"/>
        </w:rPr>
      </w:pPr>
      <w:r w:rsidRPr="00CA5237">
        <w:rPr>
          <w:rFonts w:cs="Arial"/>
        </w:rPr>
        <w:t xml:space="preserve">Reimbursement to LSP Operators will continue to be made under the Schemes </w:t>
      </w:r>
      <w:r w:rsidR="009879E3" w:rsidRPr="00CA5237">
        <w:rPr>
          <w:rFonts w:cs="Arial"/>
        </w:rPr>
        <w:t>on a quarterly basis calculated</w:t>
      </w:r>
      <w:r w:rsidRPr="00CA5237">
        <w:rPr>
          <w:rFonts w:cs="Arial"/>
        </w:rPr>
        <w:t xml:space="preserve"> on the </w:t>
      </w:r>
      <w:r w:rsidR="009879E3" w:rsidRPr="00CA5237">
        <w:rPr>
          <w:rFonts w:cs="Arial"/>
        </w:rPr>
        <w:t>actual number of journeys taken between October to December 2019</w:t>
      </w:r>
      <w:r w:rsidRPr="00CA5237">
        <w:rPr>
          <w:rFonts w:cs="Arial"/>
        </w:rPr>
        <w:t>, rather than the actual number of journeys taken</w:t>
      </w:r>
      <w:r w:rsidR="009879E3" w:rsidRPr="00CA5237">
        <w:rPr>
          <w:rFonts w:cs="Arial"/>
        </w:rPr>
        <w:t xml:space="preserve"> in the current quarter</w:t>
      </w:r>
      <w:r w:rsidR="006B4658" w:rsidRPr="00CA5237">
        <w:rPr>
          <w:rFonts w:cs="Arial"/>
        </w:rPr>
        <w:t xml:space="preserve"> </w:t>
      </w:r>
      <w:r w:rsidR="004A081D" w:rsidRPr="00CA5237">
        <w:rPr>
          <w:rFonts w:cs="Arial"/>
        </w:rPr>
        <w:t>and adjusted for the level of service being offered in any given payment period by each operator</w:t>
      </w:r>
      <w:r w:rsidRPr="00CA5237">
        <w:rPr>
          <w:rFonts w:cs="Arial"/>
        </w:rPr>
        <w:t>.</w:t>
      </w:r>
      <w:r w:rsidR="004A081D" w:rsidRPr="00CA5237">
        <w:rPr>
          <w:rFonts w:cs="Arial"/>
        </w:rPr>
        <w:t xml:space="preserve"> For example, if an operator provided journeys worth £10,000 in </w:t>
      </w:r>
      <w:r w:rsidR="009879E3" w:rsidRPr="00CA5237">
        <w:rPr>
          <w:rFonts w:cs="Arial"/>
        </w:rPr>
        <w:t>October to December 2019</w:t>
      </w:r>
      <w:r w:rsidR="004A081D" w:rsidRPr="00CA5237">
        <w:rPr>
          <w:rFonts w:cs="Arial"/>
        </w:rPr>
        <w:t xml:space="preserve">, but in a given payment period was only providing 50% of </w:t>
      </w:r>
      <w:r w:rsidR="009879E3" w:rsidRPr="00CA5237">
        <w:rPr>
          <w:rFonts w:cs="Arial"/>
        </w:rPr>
        <w:t>this level of</w:t>
      </w:r>
      <w:r w:rsidR="004A081D" w:rsidRPr="00CA5237">
        <w:rPr>
          <w:rFonts w:cs="Arial"/>
        </w:rPr>
        <w:t xml:space="preserve"> service, a payment of £5,000 (50% of £10,000) would be made.</w:t>
      </w:r>
      <w:r w:rsidRPr="00CA5237">
        <w:rPr>
          <w:rFonts w:cs="Arial"/>
        </w:rPr>
        <w:t xml:space="preserve"> </w:t>
      </w:r>
    </w:p>
    <w:p w14:paraId="71554DE2" w14:textId="77777777" w:rsidR="00DA43D8" w:rsidRPr="00CA5237" w:rsidRDefault="00DA43D8" w:rsidP="00DA43D8">
      <w:pPr>
        <w:rPr>
          <w:rFonts w:ascii="Arial" w:hAnsi="Arial" w:cs="Arial"/>
          <w:sz w:val="22"/>
          <w:szCs w:val="22"/>
        </w:rPr>
      </w:pPr>
    </w:p>
    <w:p w14:paraId="7099D966" w14:textId="77777777" w:rsidR="00DA43D8" w:rsidRPr="00CA5237" w:rsidRDefault="00DA43D8" w:rsidP="00DA43D8">
      <w:pPr>
        <w:rPr>
          <w:rFonts w:ascii="Arial" w:hAnsi="Arial" w:cs="Arial"/>
          <w:sz w:val="22"/>
          <w:szCs w:val="22"/>
        </w:rPr>
      </w:pPr>
      <w:r w:rsidRPr="00CA5237">
        <w:rPr>
          <w:rFonts w:ascii="Arial" w:hAnsi="Arial" w:cs="Arial"/>
          <w:sz w:val="22"/>
          <w:szCs w:val="22"/>
        </w:rPr>
        <w:t>The variations to the Schemes to provide for reimbursement per (c) above are conditional upon:</w:t>
      </w:r>
    </w:p>
    <w:p w14:paraId="59361976" w14:textId="77777777" w:rsidR="00DA43D8" w:rsidRPr="00CA5237" w:rsidRDefault="00DA43D8" w:rsidP="00DA43D8">
      <w:pPr>
        <w:rPr>
          <w:rFonts w:ascii="Arial" w:hAnsi="Arial" w:cs="Arial"/>
          <w:sz w:val="22"/>
          <w:szCs w:val="22"/>
        </w:rPr>
      </w:pPr>
    </w:p>
    <w:p w14:paraId="0B7BA401" w14:textId="77777777" w:rsidR="00DA43D8" w:rsidRPr="00CA5237" w:rsidRDefault="00DA43D8" w:rsidP="00DA43D8">
      <w:pPr>
        <w:pStyle w:val="Heading6"/>
        <w:numPr>
          <w:ilvl w:val="0"/>
          <w:numId w:val="0"/>
        </w:numPr>
        <w:rPr>
          <w:rFonts w:ascii="Arial" w:hAnsi="Arial" w:cs="Arial"/>
          <w:sz w:val="22"/>
          <w:szCs w:val="22"/>
        </w:rPr>
      </w:pPr>
      <w:r w:rsidRPr="00CA5237">
        <w:rPr>
          <w:rFonts w:ascii="Arial" w:hAnsi="Arial" w:cs="Arial"/>
          <w:sz w:val="22"/>
          <w:szCs w:val="22"/>
        </w:rPr>
        <w:t>(</w:t>
      </w:r>
      <w:proofErr w:type="spellStart"/>
      <w:r w:rsidRPr="00CA5237">
        <w:rPr>
          <w:rFonts w:ascii="Arial" w:hAnsi="Arial" w:cs="Arial"/>
          <w:sz w:val="22"/>
          <w:szCs w:val="22"/>
        </w:rPr>
        <w:t>i</w:t>
      </w:r>
      <w:proofErr w:type="spellEnd"/>
      <w:r w:rsidRPr="00CA5237">
        <w:rPr>
          <w:rFonts w:ascii="Arial" w:hAnsi="Arial" w:cs="Arial"/>
          <w:sz w:val="22"/>
          <w:szCs w:val="22"/>
        </w:rPr>
        <w:t>) any journeys made within the additional hours of operation as provided at (a) above being included within the special payment arrangements at (c) above and no additional payments being made in respect of these journeys; and</w:t>
      </w:r>
    </w:p>
    <w:p w14:paraId="214F6F91" w14:textId="4DC5935F" w:rsidR="00DA43D8" w:rsidRPr="00CA5237" w:rsidRDefault="00DA43D8" w:rsidP="00DA43D8">
      <w:pPr>
        <w:pStyle w:val="Heading6"/>
        <w:numPr>
          <w:ilvl w:val="0"/>
          <w:numId w:val="0"/>
        </w:numPr>
        <w:rPr>
          <w:rFonts w:ascii="Arial" w:hAnsi="Arial" w:cs="Arial"/>
          <w:sz w:val="22"/>
          <w:szCs w:val="22"/>
        </w:rPr>
      </w:pPr>
      <w:r w:rsidRPr="00CA5237">
        <w:rPr>
          <w:rFonts w:ascii="Arial" w:hAnsi="Arial" w:cs="Arial"/>
          <w:sz w:val="22"/>
          <w:szCs w:val="22"/>
        </w:rPr>
        <w:t xml:space="preserve">(ii) the variations being time limited per </w:t>
      </w:r>
      <w:r w:rsidR="004A081D" w:rsidRPr="00CA5237">
        <w:rPr>
          <w:rFonts w:ascii="Arial" w:hAnsi="Arial" w:cs="Arial"/>
          <w:sz w:val="22"/>
          <w:szCs w:val="22"/>
        </w:rPr>
        <w:t>C</w:t>
      </w:r>
      <w:r w:rsidRPr="00CA5237">
        <w:rPr>
          <w:rFonts w:ascii="Arial" w:hAnsi="Arial" w:cs="Arial"/>
          <w:sz w:val="22"/>
          <w:szCs w:val="22"/>
        </w:rPr>
        <w:t xml:space="preserve">. below.  </w:t>
      </w:r>
    </w:p>
    <w:p w14:paraId="7F77BFCD" w14:textId="77777777" w:rsidR="00DA43D8" w:rsidRPr="00CA5237" w:rsidRDefault="00DA43D8" w:rsidP="00DA43D8">
      <w:pPr>
        <w:rPr>
          <w:rFonts w:ascii="Arial" w:hAnsi="Arial" w:cs="Arial"/>
          <w:sz w:val="22"/>
          <w:szCs w:val="22"/>
        </w:rPr>
      </w:pPr>
    </w:p>
    <w:p w14:paraId="74AB9B96" w14:textId="77777777" w:rsidR="00D27E1E" w:rsidRPr="00CA5237" w:rsidRDefault="00D27E1E" w:rsidP="00D27E1E">
      <w:pPr>
        <w:rPr>
          <w:rFonts w:ascii="Arial" w:hAnsi="Arial" w:cs="Arial"/>
          <w:b/>
          <w:bCs/>
          <w:sz w:val="22"/>
          <w:szCs w:val="22"/>
        </w:rPr>
      </w:pPr>
    </w:p>
    <w:p w14:paraId="29FF7E1C" w14:textId="77777777" w:rsidR="00D27E1E" w:rsidRPr="00CA5237" w:rsidRDefault="00D27E1E" w:rsidP="00D27E1E">
      <w:pPr>
        <w:rPr>
          <w:rFonts w:ascii="Arial" w:hAnsi="Arial" w:cs="Arial"/>
          <w:b/>
          <w:bCs/>
          <w:sz w:val="22"/>
          <w:szCs w:val="22"/>
        </w:rPr>
      </w:pPr>
    </w:p>
    <w:p w14:paraId="00E21794" w14:textId="0F3441FA" w:rsidR="00D27E1E" w:rsidRPr="00CA5237" w:rsidRDefault="00D27E1E" w:rsidP="00D27E1E">
      <w:pPr>
        <w:rPr>
          <w:rFonts w:ascii="Arial" w:hAnsi="Arial" w:cs="Arial"/>
          <w:bCs/>
          <w:sz w:val="22"/>
          <w:szCs w:val="22"/>
        </w:rPr>
      </w:pPr>
      <w:r w:rsidRPr="00CA5237">
        <w:rPr>
          <w:rFonts w:ascii="Arial" w:hAnsi="Arial" w:cs="Arial"/>
          <w:b/>
          <w:bCs/>
          <w:sz w:val="22"/>
          <w:szCs w:val="22"/>
        </w:rPr>
        <w:t>London Concessionary Bus Scheme 2020-21 Addendum 1 – Response to Covid-19.</w:t>
      </w:r>
    </w:p>
    <w:p w14:paraId="7CAF2B3B" w14:textId="77777777" w:rsidR="00D27E1E" w:rsidRPr="00CA5237" w:rsidRDefault="00D27E1E" w:rsidP="00D27E1E">
      <w:pPr>
        <w:rPr>
          <w:rFonts w:ascii="Arial" w:hAnsi="Arial" w:cs="Arial"/>
          <w:sz w:val="22"/>
          <w:szCs w:val="22"/>
        </w:rPr>
      </w:pPr>
    </w:p>
    <w:p w14:paraId="671A658D" w14:textId="77777777" w:rsidR="00D27E1E" w:rsidRPr="00CA5237" w:rsidRDefault="00D27E1E" w:rsidP="00D27E1E">
      <w:pPr>
        <w:rPr>
          <w:rFonts w:ascii="Arial" w:hAnsi="Arial" w:cs="Arial"/>
          <w:sz w:val="22"/>
          <w:szCs w:val="22"/>
        </w:rPr>
      </w:pPr>
      <w:r w:rsidRPr="00CA5237">
        <w:rPr>
          <w:rFonts w:ascii="Arial" w:hAnsi="Arial" w:cs="Arial"/>
          <w:sz w:val="22"/>
          <w:szCs w:val="22"/>
        </w:rPr>
        <w:t>In light of social distancing measures introduced by HM Government and in line with Department for Transport guidance, London Councils Transport and Environment Committee has approved extraordinary and temporary contractual provisions in respect of the London Concessionary Bus Schemes 2019/20 and 2020/21 (“the schemes”) which operate as part of the London Concessionary Fares Scheme (the “Freedom Pass”). The provisions will allow for:</w:t>
      </w:r>
    </w:p>
    <w:p w14:paraId="7AB6C5FC" w14:textId="77777777" w:rsidR="00D27E1E" w:rsidRPr="00CA5237" w:rsidRDefault="00D27E1E" w:rsidP="00D27E1E">
      <w:pPr>
        <w:rPr>
          <w:rFonts w:ascii="Arial" w:hAnsi="Arial" w:cs="Arial"/>
          <w:sz w:val="22"/>
          <w:szCs w:val="22"/>
        </w:rPr>
      </w:pPr>
    </w:p>
    <w:p w14:paraId="50D646BD" w14:textId="77777777" w:rsidR="00D27E1E" w:rsidRPr="00CA5237" w:rsidRDefault="00D27E1E" w:rsidP="00D27E1E">
      <w:pPr>
        <w:pStyle w:val="ListParagraph"/>
        <w:numPr>
          <w:ilvl w:val="0"/>
          <w:numId w:val="15"/>
        </w:numPr>
        <w:rPr>
          <w:rFonts w:cs="Arial"/>
        </w:rPr>
      </w:pPr>
      <w:r w:rsidRPr="00CA5237">
        <w:rPr>
          <w:rFonts w:cs="Arial"/>
        </w:rPr>
        <w:t>An extension to the hours of operation of the schemes (currently 9.30am to 11pm) to allow travel 24 hours per day;</w:t>
      </w:r>
    </w:p>
    <w:p w14:paraId="4764939B" w14:textId="77777777" w:rsidR="00D27E1E" w:rsidRPr="00CA5237" w:rsidRDefault="00D27E1E" w:rsidP="00D27E1E">
      <w:pPr>
        <w:pStyle w:val="ListParagraph"/>
        <w:rPr>
          <w:rFonts w:cs="Arial"/>
        </w:rPr>
      </w:pPr>
    </w:p>
    <w:p w14:paraId="4E144D6F" w14:textId="5731139A" w:rsidR="00D27E1E" w:rsidRPr="002665BC" w:rsidRDefault="00D27E1E" w:rsidP="005D342A">
      <w:pPr>
        <w:pStyle w:val="ListParagraph"/>
        <w:numPr>
          <w:ilvl w:val="0"/>
          <w:numId w:val="15"/>
        </w:numPr>
        <w:rPr>
          <w:rFonts w:cs="Arial"/>
        </w:rPr>
      </w:pPr>
      <w:r w:rsidRPr="002665BC">
        <w:rPr>
          <w:rFonts w:cs="Arial"/>
        </w:rPr>
        <w:lastRenderedPageBreak/>
        <w:t xml:space="preserve">Monthly payments to be made to non-TfL bus operators based on the average monthly number of journeys taken in </w:t>
      </w:r>
      <w:r w:rsidR="002665BC">
        <w:rPr>
          <w:rFonts w:cs="Arial"/>
        </w:rPr>
        <w:t>October</w:t>
      </w:r>
      <w:r w:rsidRPr="002665BC">
        <w:rPr>
          <w:rFonts w:cs="Arial"/>
        </w:rPr>
        <w:t xml:space="preserve"> 2019, </w:t>
      </w:r>
      <w:r w:rsidR="002665BC">
        <w:rPr>
          <w:rFonts w:cs="Arial"/>
        </w:rPr>
        <w:t xml:space="preserve">November 19 </w:t>
      </w:r>
      <w:r w:rsidRPr="002665BC">
        <w:rPr>
          <w:rFonts w:cs="Arial"/>
        </w:rPr>
        <w:t xml:space="preserve">and </w:t>
      </w:r>
      <w:r w:rsidR="002665BC">
        <w:rPr>
          <w:rFonts w:cs="Arial"/>
        </w:rPr>
        <w:t>December 19</w:t>
      </w:r>
      <w:r w:rsidRPr="002665BC">
        <w:rPr>
          <w:rFonts w:cs="Arial"/>
        </w:rPr>
        <w:t xml:space="preserve">, rather than the actual number of journeys taken </w:t>
      </w:r>
    </w:p>
    <w:p w14:paraId="7BEB6D84" w14:textId="77777777" w:rsidR="00D27E1E" w:rsidRPr="00CA5237" w:rsidRDefault="00D27E1E" w:rsidP="00D27E1E">
      <w:pPr>
        <w:rPr>
          <w:rFonts w:ascii="Arial" w:hAnsi="Arial" w:cs="Arial"/>
          <w:sz w:val="22"/>
          <w:szCs w:val="22"/>
        </w:rPr>
      </w:pPr>
      <w:r w:rsidRPr="00CA5237">
        <w:rPr>
          <w:rFonts w:ascii="Arial" w:hAnsi="Arial" w:cs="Arial"/>
          <w:sz w:val="22"/>
          <w:szCs w:val="22"/>
        </w:rPr>
        <w:t>These contractual provisions will remain in place for the duration of HM Government’s social distancing measures and will remain under review (first review in mid-May 2020, or earlier if government guidance changes) and withdrawn or extended as appropriate.</w:t>
      </w:r>
    </w:p>
    <w:p w14:paraId="11D56B20" w14:textId="77777777" w:rsidR="00D27E1E" w:rsidRPr="00CA5237" w:rsidRDefault="00D27E1E" w:rsidP="00D27E1E">
      <w:pPr>
        <w:rPr>
          <w:rFonts w:ascii="Arial" w:hAnsi="Arial" w:cs="Arial"/>
          <w:sz w:val="22"/>
          <w:szCs w:val="22"/>
        </w:rPr>
      </w:pPr>
    </w:p>
    <w:p w14:paraId="437B5C01" w14:textId="77777777" w:rsidR="00D27E1E" w:rsidRPr="00CA5237" w:rsidRDefault="00D27E1E" w:rsidP="00D27E1E">
      <w:pPr>
        <w:rPr>
          <w:rFonts w:ascii="Arial" w:hAnsi="Arial" w:cs="Arial"/>
          <w:sz w:val="22"/>
          <w:szCs w:val="22"/>
        </w:rPr>
      </w:pPr>
      <w:r w:rsidRPr="00CA5237">
        <w:rPr>
          <w:rFonts w:ascii="Arial" w:hAnsi="Arial" w:cs="Arial"/>
          <w:sz w:val="22"/>
          <w:szCs w:val="22"/>
        </w:rPr>
        <w:t>A condition of the change to the Scheme will be that any journeys made within the additional hours of operation are covered by the special payment arrangements and that no addition payments will be made in respect of these journeys. This variation to the London Bus Concessionary Scheme is time limited and does not create a precedent for future schemes.</w:t>
      </w:r>
    </w:p>
    <w:p w14:paraId="6E8560BC" w14:textId="77777777" w:rsidR="00D27E1E" w:rsidRPr="00CA5237" w:rsidRDefault="00D27E1E" w:rsidP="00D27E1E">
      <w:pPr>
        <w:rPr>
          <w:rFonts w:ascii="Arial" w:hAnsi="Arial" w:cs="Arial"/>
          <w:sz w:val="22"/>
          <w:szCs w:val="22"/>
        </w:rPr>
      </w:pPr>
    </w:p>
    <w:p w14:paraId="6A455105" w14:textId="553ADD3F" w:rsidR="009879E3" w:rsidRPr="00CA5237" w:rsidRDefault="009879E3">
      <w:pPr>
        <w:rPr>
          <w:rFonts w:ascii="Arial" w:hAnsi="Arial" w:cs="Arial"/>
          <w:b/>
          <w:bCs/>
          <w:sz w:val="22"/>
          <w:szCs w:val="22"/>
          <w:u w:val="single"/>
        </w:rPr>
      </w:pPr>
    </w:p>
    <w:p w14:paraId="3006092B" w14:textId="2F22EF5B" w:rsidR="00DA43D8" w:rsidRPr="00CA5237" w:rsidRDefault="00DA43D8" w:rsidP="00DA43D8">
      <w:pPr>
        <w:pStyle w:val="ListParagraph"/>
        <w:numPr>
          <w:ilvl w:val="0"/>
          <w:numId w:val="16"/>
        </w:numPr>
        <w:ind w:left="567" w:hanging="567"/>
        <w:rPr>
          <w:rFonts w:cs="Arial"/>
          <w:b/>
          <w:bCs/>
          <w:u w:val="single"/>
        </w:rPr>
      </w:pPr>
      <w:r w:rsidRPr="00CA5237">
        <w:rPr>
          <w:rFonts w:cs="Arial"/>
          <w:b/>
          <w:bCs/>
          <w:u w:val="single"/>
        </w:rPr>
        <w:t>Duration:</w:t>
      </w:r>
    </w:p>
    <w:p w14:paraId="729A8D76" w14:textId="4D2780CF" w:rsidR="00DA43D8" w:rsidRPr="00CA5237" w:rsidRDefault="00DA43D8" w:rsidP="00DA43D8">
      <w:pPr>
        <w:rPr>
          <w:rFonts w:ascii="Arial" w:hAnsi="Arial" w:cs="Arial"/>
          <w:sz w:val="22"/>
          <w:szCs w:val="22"/>
        </w:rPr>
      </w:pPr>
      <w:r w:rsidRPr="00CA5237">
        <w:rPr>
          <w:rFonts w:ascii="Arial" w:hAnsi="Arial" w:cs="Arial"/>
          <w:sz w:val="22"/>
          <w:szCs w:val="22"/>
        </w:rPr>
        <w:t>These provisions will remain in place for the duration of HM Government’s social distancing measures</w:t>
      </w:r>
      <w:r w:rsidR="005E2DA9" w:rsidRPr="00CA5237">
        <w:rPr>
          <w:rFonts w:ascii="Arial" w:hAnsi="Arial" w:cs="Arial"/>
          <w:sz w:val="22"/>
          <w:szCs w:val="22"/>
        </w:rPr>
        <w:t xml:space="preserve"> which are due to end on 21 June 2021</w:t>
      </w:r>
      <w:r w:rsidRPr="00CA5237">
        <w:rPr>
          <w:rFonts w:ascii="Arial" w:hAnsi="Arial" w:cs="Arial"/>
          <w:sz w:val="22"/>
          <w:szCs w:val="22"/>
        </w:rPr>
        <w:t xml:space="preserve"> </w:t>
      </w:r>
      <w:r w:rsidR="005E2DA9" w:rsidRPr="00CA5237">
        <w:rPr>
          <w:rFonts w:ascii="Arial" w:hAnsi="Arial" w:cs="Arial"/>
          <w:sz w:val="22"/>
          <w:szCs w:val="22"/>
        </w:rPr>
        <w:t xml:space="preserve">(or earlier, or later, if government guidance changes) </w:t>
      </w:r>
      <w:r w:rsidRPr="00CA5237">
        <w:rPr>
          <w:rFonts w:ascii="Arial" w:hAnsi="Arial" w:cs="Arial"/>
          <w:sz w:val="22"/>
          <w:szCs w:val="22"/>
        </w:rPr>
        <w:t>and will remain under review and may otherwise be withdrawn or extended as appropriate by agreement.</w:t>
      </w:r>
    </w:p>
    <w:p w14:paraId="2E31D5B7" w14:textId="77777777" w:rsidR="00DA43D8" w:rsidRPr="00CA5237" w:rsidRDefault="00DA43D8" w:rsidP="00DA43D8">
      <w:pPr>
        <w:rPr>
          <w:rFonts w:ascii="Arial" w:hAnsi="Arial" w:cs="Arial"/>
          <w:sz w:val="22"/>
          <w:szCs w:val="22"/>
        </w:rPr>
      </w:pPr>
    </w:p>
    <w:p w14:paraId="48E08C0C" w14:textId="77777777" w:rsidR="00DA43D8" w:rsidRPr="00CA5237" w:rsidRDefault="00DA43D8" w:rsidP="00DA43D8">
      <w:pPr>
        <w:pStyle w:val="ListParagraph"/>
        <w:numPr>
          <w:ilvl w:val="0"/>
          <w:numId w:val="16"/>
        </w:numPr>
        <w:ind w:left="567" w:hanging="567"/>
        <w:rPr>
          <w:rFonts w:cs="Arial"/>
          <w:b/>
          <w:bCs/>
          <w:u w:val="single"/>
        </w:rPr>
      </w:pPr>
      <w:r w:rsidRPr="00CA5237">
        <w:rPr>
          <w:rFonts w:cs="Arial"/>
          <w:b/>
          <w:bCs/>
          <w:u w:val="single"/>
        </w:rPr>
        <w:t>Agreement</w:t>
      </w:r>
    </w:p>
    <w:p w14:paraId="69697589" w14:textId="77777777" w:rsidR="00DA43D8" w:rsidRPr="00CA5237" w:rsidRDefault="00DA43D8" w:rsidP="00DA43D8">
      <w:pPr>
        <w:rPr>
          <w:rFonts w:ascii="Arial" w:hAnsi="Arial" w:cs="Arial"/>
          <w:sz w:val="22"/>
          <w:szCs w:val="22"/>
        </w:rPr>
      </w:pPr>
      <w:r w:rsidRPr="00CA5237">
        <w:rPr>
          <w:rFonts w:ascii="Arial" w:hAnsi="Arial" w:cs="Arial"/>
          <w:sz w:val="22"/>
          <w:szCs w:val="22"/>
        </w:rPr>
        <w:t xml:space="preserve">These variations will only take effect with the agreement of the LSP Operators. However, failure to agree will result in a return to the general conditions of the scheme i.e. the prevailing conditions prior to the extraordinary conditions set out in Addendum 1 (above). Agreement can be effected by an authorised representative of an existing LSP Operator sending a confirmatory email to London Councils to Stephen Boon, chief contracts officer, </w:t>
      </w:r>
      <w:hyperlink r:id="rId8" w:history="1">
        <w:r w:rsidRPr="00CA5237">
          <w:rPr>
            <w:rStyle w:val="Hyperlink"/>
            <w:rFonts w:ascii="Arial" w:hAnsi="Arial" w:cs="Arial"/>
            <w:sz w:val="22"/>
            <w:szCs w:val="22"/>
          </w:rPr>
          <w:t>stephen.boon@londoncouncils.gov.uk</w:t>
        </w:r>
      </w:hyperlink>
      <w:r w:rsidRPr="00CA5237">
        <w:rPr>
          <w:rFonts w:ascii="Arial" w:hAnsi="Arial" w:cs="Arial"/>
          <w:sz w:val="22"/>
          <w:szCs w:val="22"/>
        </w:rPr>
        <w:t xml:space="preserve"> . </w:t>
      </w:r>
    </w:p>
    <w:sectPr w:rsidR="00DA43D8" w:rsidRPr="00CA5237">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08AC5" w14:textId="77777777" w:rsidR="002162F4" w:rsidRDefault="002162F4" w:rsidP="002F4508">
      <w:r>
        <w:separator/>
      </w:r>
    </w:p>
  </w:endnote>
  <w:endnote w:type="continuationSeparator" w:id="0">
    <w:p w14:paraId="017B8297" w14:textId="77777777" w:rsidR="002162F4" w:rsidRDefault="002162F4" w:rsidP="002F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fficina Sans ITC TT">
    <w:altName w:val="Calibri"/>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8D34110-8503-4DF6-8685-42BD21478152}"/>
  </w:font>
  <w:font w:name="Cambria">
    <w:panose1 w:val="02040503050406030204"/>
    <w:charset w:val="00"/>
    <w:family w:val="roman"/>
    <w:pitch w:val="variable"/>
    <w:sig w:usb0="E00006FF" w:usb1="420024FF" w:usb2="02000000" w:usb3="00000000" w:csb0="0000019F" w:csb1="00000000"/>
    <w:embedRegular r:id="rId2" w:fontKey="{16C86671-224F-459B-9260-3F65BD69E5AA}"/>
  </w:font>
  <w:font w:name="Calibri">
    <w:panose1 w:val="020F0502020204030204"/>
    <w:charset w:val="00"/>
    <w:family w:val="swiss"/>
    <w:pitch w:val="variable"/>
    <w:sig w:usb0="E4002EFF" w:usb1="C000247B" w:usb2="00000009" w:usb3="00000000" w:csb0="000001FF" w:csb1="00000000"/>
    <w:embedRegular r:id="rId3" w:fontKey="{3B7300C7-E5C8-4E83-A022-3599837AE4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D9FB" w14:textId="77777777" w:rsidR="007A7FBC" w:rsidRDefault="007A7F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35BB" w14:textId="77777777" w:rsidR="007A7FBC" w:rsidRDefault="007A7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FAEF7" w14:textId="77777777" w:rsidR="007A7FBC" w:rsidRDefault="007A7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6E1D6" w14:textId="77777777" w:rsidR="002162F4" w:rsidRDefault="002162F4" w:rsidP="002F4508">
      <w:r>
        <w:separator/>
      </w:r>
    </w:p>
  </w:footnote>
  <w:footnote w:type="continuationSeparator" w:id="0">
    <w:p w14:paraId="37F70337" w14:textId="77777777" w:rsidR="002162F4" w:rsidRDefault="002162F4" w:rsidP="002F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7113" w14:textId="77777777" w:rsidR="007A7FBC" w:rsidRDefault="007A7F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275360"/>
      <w:docPartObj>
        <w:docPartGallery w:val="Watermarks"/>
        <w:docPartUnique/>
      </w:docPartObj>
    </w:sdtPr>
    <w:sdtEndPr/>
    <w:sdtContent>
      <w:p w14:paraId="3FB33558" w14:textId="6F31F6FA" w:rsidR="007A7FBC" w:rsidRDefault="002638B2">
        <w:pPr>
          <w:pStyle w:val="Header"/>
        </w:pPr>
        <w:r>
          <w:rPr>
            <w:noProof/>
          </w:rPr>
          <w:pict w14:anchorId="6AAC2D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3"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52AB" w14:textId="77777777" w:rsidR="007A7FBC" w:rsidRDefault="007A7F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FFFFFFFB"/>
    <w:multiLevelType w:val="multilevel"/>
    <w:tmpl w:val="4FB2F364"/>
    <w:lvl w:ilvl="0">
      <w:start w:val="1"/>
      <w:numFmt w:val="decimal"/>
      <w:pStyle w:val="Heading1"/>
      <w:lvlText w:val="%1."/>
      <w:legacy w:legacy="1" w:legacySpace="0" w:legacyIndent="720"/>
      <w:lvlJc w:val="left"/>
      <w:pPr>
        <w:ind w:left="375" w:hanging="720"/>
      </w:pPr>
    </w:lvl>
    <w:lvl w:ilvl="1">
      <w:start w:val="1"/>
      <w:numFmt w:val="lowerLetter"/>
      <w:lvlText w:val="(%2)"/>
      <w:lvlJc w:val="left"/>
      <w:pPr>
        <w:tabs>
          <w:tab w:val="num" w:pos="735"/>
        </w:tabs>
        <w:ind w:left="735" w:hanging="360"/>
      </w:pPr>
      <w:rPr>
        <w:rFonts w:hint="default"/>
      </w:rPr>
    </w:lvl>
    <w:lvl w:ilvl="2">
      <w:start w:val="1"/>
      <w:numFmt w:val="decimal"/>
      <w:pStyle w:val="Heading3"/>
      <w:lvlText w:val="%1.%2.%3"/>
      <w:legacy w:legacy="1" w:legacySpace="0" w:legacyIndent="720"/>
      <w:lvlJc w:val="left"/>
      <w:pPr>
        <w:ind w:left="1815" w:hanging="720"/>
      </w:pPr>
    </w:lvl>
    <w:lvl w:ilvl="3">
      <w:start w:val="1"/>
      <w:numFmt w:val="decimal"/>
      <w:pStyle w:val="Heading4"/>
      <w:lvlText w:val="%1.%2.%3.%4"/>
      <w:legacy w:legacy="1" w:legacySpace="0" w:legacyIndent="720"/>
      <w:lvlJc w:val="left"/>
      <w:pPr>
        <w:ind w:left="2535" w:hanging="720"/>
      </w:pPr>
    </w:lvl>
    <w:lvl w:ilvl="4">
      <w:start w:val="1"/>
      <w:numFmt w:val="lowerLetter"/>
      <w:pStyle w:val="Heading5"/>
      <w:lvlText w:val="(%5)"/>
      <w:legacy w:legacy="1" w:legacySpace="0" w:legacyIndent="720"/>
      <w:lvlJc w:val="left"/>
      <w:pPr>
        <w:ind w:left="3255" w:hanging="720"/>
      </w:pPr>
    </w:lvl>
    <w:lvl w:ilvl="5">
      <w:start w:val="1"/>
      <w:numFmt w:val="lowerRoman"/>
      <w:pStyle w:val="Heading6"/>
      <w:lvlText w:val="(%6)"/>
      <w:legacy w:legacy="1" w:legacySpace="0" w:legacyIndent="720"/>
      <w:lvlJc w:val="left"/>
      <w:pPr>
        <w:ind w:left="3975" w:hanging="720"/>
      </w:pPr>
    </w:lvl>
    <w:lvl w:ilvl="6">
      <w:start w:val="1"/>
      <w:numFmt w:val="decimal"/>
      <w:pStyle w:val="Heading7"/>
      <w:lvlText w:val="(%7)"/>
      <w:legacy w:legacy="1" w:legacySpace="0" w:legacyIndent="720"/>
      <w:lvlJc w:val="left"/>
      <w:pPr>
        <w:ind w:left="4695" w:hanging="720"/>
      </w:pPr>
    </w:lvl>
    <w:lvl w:ilvl="7">
      <w:start w:val="1"/>
      <w:numFmt w:val="none"/>
      <w:pStyle w:val="Heading8"/>
      <w:suff w:val="nothing"/>
      <w:lvlText w:val=""/>
      <w:lvlJc w:val="left"/>
      <w:pPr>
        <w:ind w:left="5415" w:hanging="720"/>
      </w:pPr>
    </w:lvl>
    <w:lvl w:ilvl="8">
      <w:start w:val="1"/>
      <w:numFmt w:val="none"/>
      <w:pStyle w:val="Heading9"/>
      <w:suff w:val="nothing"/>
      <w:lvlText w:val=""/>
      <w:lvlJc w:val="left"/>
      <w:pPr>
        <w:ind w:left="6135" w:hanging="720"/>
      </w:pPr>
    </w:lvl>
  </w:abstractNum>
  <w:abstractNum w:abstractNumId="1" w15:restartNumberingAfterBreak="0">
    <w:nsid w:val="0A3E1144"/>
    <w:multiLevelType w:val="hybridMultilevel"/>
    <w:tmpl w:val="444C8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4" w15:restartNumberingAfterBreak="0">
    <w:nsid w:val="153D6EB3"/>
    <w:multiLevelType w:val="multilevel"/>
    <w:tmpl w:val="36E201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15:restartNumberingAfterBreak="0">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38A46AE"/>
    <w:multiLevelType w:val="hybridMultilevel"/>
    <w:tmpl w:val="7528F42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15:restartNumberingAfterBreak="0">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15:restartNumberingAfterBreak="0">
    <w:nsid w:val="518F3236"/>
    <w:multiLevelType w:val="hybridMultilevel"/>
    <w:tmpl w:val="9B6C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C42E1B"/>
    <w:multiLevelType w:val="hybridMultilevel"/>
    <w:tmpl w:val="3EACC3F8"/>
    <w:lvl w:ilvl="0" w:tplc="0F50E3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383EB8"/>
    <w:multiLevelType w:val="hybridMultilevel"/>
    <w:tmpl w:val="95B02B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126907"/>
    <w:multiLevelType w:val="hybridMultilevel"/>
    <w:tmpl w:val="3C4A647E"/>
    <w:lvl w:ilvl="0" w:tplc="461E55B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5"/>
  </w:num>
  <w:num w:numId="4">
    <w:abstractNumId w:val="11"/>
  </w:num>
  <w:num w:numId="5">
    <w:abstractNumId w:val="0"/>
  </w:num>
  <w:num w:numId="6">
    <w:abstractNumId w:val="8"/>
  </w:num>
  <w:num w:numId="7">
    <w:abstractNumId w:val="6"/>
  </w:num>
  <w:num w:numId="8">
    <w:abstractNumId w:val="2"/>
  </w:num>
  <w:num w:numId="9">
    <w:abstractNumId w:val="12"/>
  </w:num>
  <w:num w:numId="10">
    <w:abstractNumId w:val="14"/>
  </w:num>
  <w:num w:numId="11">
    <w:abstractNumId w:val="1"/>
  </w:num>
  <w:num w:numId="12">
    <w:abstractNumId w:val="4"/>
  </w:num>
  <w:num w:numId="13">
    <w:abstractNumId w:val="7"/>
  </w:num>
  <w:num w:numId="14">
    <w:abstractNumId w:val="9"/>
  </w:num>
  <w:num w:numId="15">
    <w:abstractNumId w:val="10"/>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o:shapelayout v:ext="edit">
      <o:idmap v:ext="edit" data="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AFA"/>
    <w:rsid w:val="00002F39"/>
    <w:rsid w:val="0000675D"/>
    <w:rsid w:val="00014526"/>
    <w:rsid w:val="00015344"/>
    <w:rsid w:val="0001536E"/>
    <w:rsid w:val="00016C9F"/>
    <w:rsid w:val="00020F70"/>
    <w:rsid w:val="0002298E"/>
    <w:rsid w:val="00031C28"/>
    <w:rsid w:val="0005493E"/>
    <w:rsid w:val="00056BE2"/>
    <w:rsid w:val="00061989"/>
    <w:rsid w:val="00061B01"/>
    <w:rsid w:val="0006713B"/>
    <w:rsid w:val="0006723A"/>
    <w:rsid w:val="000706F8"/>
    <w:rsid w:val="00071317"/>
    <w:rsid w:val="00073BC3"/>
    <w:rsid w:val="000759D6"/>
    <w:rsid w:val="00084431"/>
    <w:rsid w:val="00085D15"/>
    <w:rsid w:val="00095D9B"/>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07A3"/>
    <w:rsid w:val="00143442"/>
    <w:rsid w:val="0014356F"/>
    <w:rsid w:val="00143A91"/>
    <w:rsid w:val="00153A0E"/>
    <w:rsid w:val="00160F57"/>
    <w:rsid w:val="0016243D"/>
    <w:rsid w:val="00162CC7"/>
    <w:rsid w:val="00175685"/>
    <w:rsid w:val="001845A5"/>
    <w:rsid w:val="001855A9"/>
    <w:rsid w:val="00186056"/>
    <w:rsid w:val="00187FC4"/>
    <w:rsid w:val="001A029B"/>
    <w:rsid w:val="001A1F96"/>
    <w:rsid w:val="001A3269"/>
    <w:rsid w:val="001A6C97"/>
    <w:rsid w:val="001A715E"/>
    <w:rsid w:val="001B09A1"/>
    <w:rsid w:val="001B4045"/>
    <w:rsid w:val="001B6637"/>
    <w:rsid w:val="001B736F"/>
    <w:rsid w:val="001C3206"/>
    <w:rsid w:val="001C35BB"/>
    <w:rsid w:val="001C7FFE"/>
    <w:rsid w:val="001D0B9F"/>
    <w:rsid w:val="001D25B4"/>
    <w:rsid w:val="001D3DF2"/>
    <w:rsid w:val="001D6F45"/>
    <w:rsid w:val="001E1392"/>
    <w:rsid w:val="001E51A2"/>
    <w:rsid w:val="001F0B03"/>
    <w:rsid w:val="001F4BDF"/>
    <w:rsid w:val="001F6D82"/>
    <w:rsid w:val="001F7A23"/>
    <w:rsid w:val="0021281E"/>
    <w:rsid w:val="00212FB6"/>
    <w:rsid w:val="00213E9B"/>
    <w:rsid w:val="002150D8"/>
    <w:rsid w:val="002162F4"/>
    <w:rsid w:val="002207B5"/>
    <w:rsid w:val="00224584"/>
    <w:rsid w:val="0022469E"/>
    <w:rsid w:val="00227326"/>
    <w:rsid w:val="00227ADF"/>
    <w:rsid w:val="00233773"/>
    <w:rsid w:val="0023449C"/>
    <w:rsid w:val="00236E61"/>
    <w:rsid w:val="00236F0D"/>
    <w:rsid w:val="00240437"/>
    <w:rsid w:val="002437B3"/>
    <w:rsid w:val="00245834"/>
    <w:rsid w:val="0025197F"/>
    <w:rsid w:val="00251A38"/>
    <w:rsid w:val="00252BEF"/>
    <w:rsid w:val="00255143"/>
    <w:rsid w:val="002577DC"/>
    <w:rsid w:val="00262011"/>
    <w:rsid w:val="00263353"/>
    <w:rsid w:val="002638B2"/>
    <w:rsid w:val="002665BC"/>
    <w:rsid w:val="002670F4"/>
    <w:rsid w:val="00280C67"/>
    <w:rsid w:val="00281B2B"/>
    <w:rsid w:val="0028514F"/>
    <w:rsid w:val="00287486"/>
    <w:rsid w:val="002934A1"/>
    <w:rsid w:val="002A2EC9"/>
    <w:rsid w:val="002A50D3"/>
    <w:rsid w:val="002A680C"/>
    <w:rsid w:val="002B29AF"/>
    <w:rsid w:val="002B560E"/>
    <w:rsid w:val="002D3E36"/>
    <w:rsid w:val="002E0B89"/>
    <w:rsid w:val="002E2C82"/>
    <w:rsid w:val="002E48E1"/>
    <w:rsid w:val="002E58E3"/>
    <w:rsid w:val="002F4508"/>
    <w:rsid w:val="002F620B"/>
    <w:rsid w:val="002F7F0C"/>
    <w:rsid w:val="003027F6"/>
    <w:rsid w:val="00302E87"/>
    <w:rsid w:val="0030459E"/>
    <w:rsid w:val="00305F15"/>
    <w:rsid w:val="00306063"/>
    <w:rsid w:val="00306EC7"/>
    <w:rsid w:val="00313446"/>
    <w:rsid w:val="00316B13"/>
    <w:rsid w:val="003202BC"/>
    <w:rsid w:val="003202ED"/>
    <w:rsid w:val="00320776"/>
    <w:rsid w:val="003216E9"/>
    <w:rsid w:val="003278DA"/>
    <w:rsid w:val="003313DF"/>
    <w:rsid w:val="00336DA5"/>
    <w:rsid w:val="0033708F"/>
    <w:rsid w:val="003402A6"/>
    <w:rsid w:val="00342B86"/>
    <w:rsid w:val="00345213"/>
    <w:rsid w:val="00347A1D"/>
    <w:rsid w:val="00354BE6"/>
    <w:rsid w:val="00355115"/>
    <w:rsid w:val="00361B86"/>
    <w:rsid w:val="00370DB6"/>
    <w:rsid w:val="00375DFD"/>
    <w:rsid w:val="00380617"/>
    <w:rsid w:val="00382783"/>
    <w:rsid w:val="0038330E"/>
    <w:rsid w:val="00384E83"/>
    <w:rsid w:val="00390C0C"/>
    <w:rsid w:val="00391998"/>
    <w:rsid w:val="0039499D"/>
    <w:rsid w:val="00396D33"/>
    <w:rsid w:val="00397AC4"/>
    <w:rsid w:val="003A03B8"/>
    <w:rsid w:val="003A2AFA"/>
    <w:rsid w:val="003B2080"/>
    <w:rsid w:val="003B3B19"/>
    <w:rsid w:val="003B42C7"/>
    <w:rsid w:val="003B4BBB"/>
    <w:rsid w:val="003B77F1"/>
    <w:rsid w:val="003B7E78"/>
    <w:rsid w:val="003C37AD"/>
    <w:rsid w:val="003C5C03"/>
    <w:rsid w:val="003D499B"/>
    <w:rsid w:val="003D4A2D"/>
    <w:rsid w:val="003D5D26"/>
    <w:rsid w:val="003D6440"/>
    <w:rsid w:val="003E0569"/>
    <w:rsid w:val="003E5092"/>
    <w:rsid w:val="003E6C08"/>
    <w:rsid w:val="003E7E59"/>
    <w:rsid w:val="003F41D0"/>
    <w:rsid w:val="003F4C5C"/>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56EF6"/>
    <w:rsid w:val="00461DA4"/>
    <w:rsid w:val="00462C4F"/>
    <w:rsid w:val="00467579"/>
    <w:rsid w:val="0048270B"/>
    <w:rsid w:val="004862CB"/>
    <w:rsid w:val="00487472"/>
    <w:rsid w:val="00487A16"/>
    <w:rsid w:val="00487C9C"/>
    <w:rsid w:val="00491E5D"/>
    <w:rsid w:val="00494A00"/>
    <w:rsid w:val="004955D1"/>
    <w:rsid w:val="00497618"/>
    <w:rsid w:val="004A081D"/>
    <w:rsid w:val="004B60F5"/>
    <w:rsid w:val="004D1D8C"/>
    <w:rsid w:val="004D32AB"/>
    <w:rsid w:val="004D351F"/>
    <w:rsid w:val="004E7F1F"/>
    <w:rsid w:val="004F148E"/>
    <w:rsid w:val="004F1B78"/>
    <w:rsid w:val="0050470F"/>
    <w:rsid w:val="005066AF"/>
    <w:rsid w:val="00513088"/>
    <w:rsid w:val="005263F2"/>
    <w:rsid w:val="00531313"/>
    <w:rsid w:val="00540E46"/>
    <w:rsid w:val="00560798"/>
    <w:rsid w:val="00565B96"/>
    <w:rsid w:val="00573767"/>
    <w:rsid w:val="00577198"/>
    <w:rsid w:val="00580627"/>
    <w:rsid w:val="00581871"/>
    <w:rsid w:val="00583B8E"/>
    <w:rsid w:val="005851F9"/>
    <w:rsid w:val="005863EE"/>
    <w:rsid w:val="00591B78"/>
    <w:rsid w:val="005935EA"/>
    <w:rsid w:val="005956B9"/>
    <w:rsid w:val="00597338"/>
    <w:rsid w:val="005A6399"/>
    <w:rsid w:val="005B1FDB"/>
    <w:rsid w:val="005B25E9"/>
    <w:rsid w:val="005C284E"/>
    <w:rsid w:val="005C412D"/>
    <w:rsid w:val="005C4184"/>
    <w:rsid w:val="005C4338"/>
    <w:rsid w:val="005C45DF"/>
    <w:rsid w:val="005C7DA2"/>
    <w:rsid w:val="005D06C3"/>
    <w:rsid w:val="005D0E6E"/>
    <w:rsid w:val="005D1EEB"/>
    <w:rsid w:val="005D6C1F"/>
    <w:rsid w:val="005D7502"/>
    <w:rsid w:val="005E14B9"/>
    <w:rsid w:val="005E2DA9"/>
    <w:rsid w:val="00600A40"/>
    <w:rsid w:val="0060217C"/>
    <w:rsid w:val="00606E9C"/>
    <w:rsid w:val="0061216F"/>
    <w:rsid w:val="00612418"/>
    <w:rsid w:val="00613B46"/>
    <w:rsid w:val="00620ECB"/>
    <w:rsid w:val="006239EF"/>
    <w:rsid w:val="00624D3C"/>
    <w:rsid w:val="006258AC"/>
    <w:rsid w:val="006332D6"/>
    <w:rsid w:val="0065203C"/>
    <w:rsid w:val="006529C1"/>
    <w:rsid w:val="0066128F"/>
    <w:rsid w:val="00664C22"/>
    <w:rsid w:val="006774D9"/>
    <w:rsid w:val="006835B9"/>
    <w:rsid w:val="00687F55"/>
    <w:rsid w:val="006928BD"/>
    <w:rsid w:val="006A4858"/>
    <w:rsid w:val="006A5576"/>
    <w:rsid w:val="006B4658"/>
    <w:rsid w:val="006B55B3"/>
    <w:rsid w:val="006C5FD1"/>
    <w:rsid w:val="006C6DA4"/>
    <w:rsid w:val="006D2D96"/>
    <w:rsid w:val="006D3C00"/>
    <w:rsid w:val="006D535B"/>
    <w:rsid w:val="006D6774"/>
    <w:rsid w:val="006D6B8B"/>
    <w:rsid w:val="006E1684"/>
    <w:rsid w:val="006E3AE5"/>
    <w:rsid w:val="006E7788"/>
    <w:rsid w:val="006F034C"/>
    <w:rsid w:val="006F1F74"/>
    <w:rsid w:val="006F2520"/>
    <w:rsid w:val="006F3333"/>
    <w:rsid w:val="006F4999"/>
    <w:rsid w:val="006F4CB2"/>
    <w:rsid w:val="006F6176"/>
    <w:rsid w:val="006F62D7"/>
    <w:rsid w:val="006F72AE"/>
    <w:rsid w:val="0070480C"/>
    <w:rsid w:val="00704ABD"/>
    <w:rsid w:val="00705D26"/>
    <w:rsid w:val="00712D75"/>
    <w:rsid w:val="00712D9C"/>
    <w:rsid w:val="00714799"/>
    <w:rsid w:val="00716F42"/>
    <w:rsid w:val="00717CE0"/>
    <w:rsid w:val="00720E35"/>
    <w:rsid w:val="00721503"/>
    <w:rsid w:val="007215EF"/>
    <w:rsid w:val="0072280F"/>
    <w:rsid w:val="0072727A"/>
    <w:rsid w:val="00732271"/>
    <w:rsid w:val="007354DE"/>
    <w:rsid w:val="00736DF6"/>
    <w:rsid w:val="00740AB0"/>
    <w:rsid w:val="00740BFF"/>
    <w:rsid w:val="007439BF"/>
    <w:rsid w:val="007466AC"/>
    <w:rsid w:val="00747FBD"/>
    <w:rsid w:val="007515A3"/>
    <w:rsid w:val="00754159"/>
    <w:rsid w:val="007619AF"/>
    <w:rsid w:val="00761BCD"/>
    <w:rsid w:val="007649CC"/>
    <w:rsid w:val="00767C03"/>
    <w:rsid w:val="00777C48"/>
    <w:rsid w:val="00782D28"/>
    <w:rsid w:val="007842FA"/>
    <w:rsid w:val="0078773D"/>
    <w:rsid w:val="007912EC"/>
    <w:rsid w:val="00796B14"/>
    <w:rsid w:val="007A461E"/>
    <w:rsid w:val="007A7025"/>
    <w:rsid w:val="007A7D01"/>
    <w:rsid w:val="007A7FBC"/>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0C4D"/>
    <w:rsid w:val="008050A9"/>
    <w:rsid w:val="00806BFB"/>
    <w:rsid w:val="00810357"/>
    <w:rsid w:val="0081155D"/>
    <w:rsid w:val="0082024F"/>
    <w:rsid w:val="008230AB"/>
    <w:rsid w:val="00826FFD"/>
    <w:rsid w:val="00827E87"/>
    <w:rsid w:val="0083056B"/>
    <w:rsid w:val="00834293"/>
    <w:rsid w:val="00837224"/>
    <w:rsid w:val="00837490"/>
    <w:rsid w:val="00837689"/>
    <w:rsid w:val="00842AFD"/>
    <w:rsid w:val="008463F1"/>
    <w:rsid w:val="00846775"/>
    <w:rsid w:val="0084742D"/>
    <w:rsid w:val="00847EE0"/>
    <w:rsid w:val="008531C7"/>
    <w:rsid w:val="008644F9"/>
    <w:rsid w:val="00866D98"/>
    <w:rsid w:val="00867305"/>
    <w:rsid w:val="0087032A"/>
    <w:rsid w:val="00870A6A"/>
    <w:rsid w:val="0087766A"/>
    <w:rsid w:val="0088036A"/>
    <w:rsid w:val="0088043B"/>
    <w:rsid w:val="0088672C"/>
    <w:rsid w:val="00897006"/>
    <w:rsid w:val="008A44A4"/>
    <w:rsid w:val="008A4EC9"/>
    <w:rsid w:val="008A662F"/>
    <w:rsid w:val="008B4847"/>
    <w:rsid w:val="008B515F"/>
    <w:rsid w:val="008C2797"/>
    <w:rsid w:val="008C2BFA"/>
    <w:rsid w:val="008C62EE"/>
    <w:rsid w:val="008C6F3E"/>
    <w:rsid w:val="008D22B5"/>
    <w:rsid w:val="008D33A1"/>
    <w:rsid w:val="008E3158"/>
    <w:rsid w:val="008E65FF"/>
    <w:rsid w:val="008E7A6E"/>
    <w:rsid w:val="008F0C56"/>
    <w:rsid w:val="008F1054"/>
    <w:rsid w:val="008F3698"/>
    <w:rsid w:val="008F7583"/>
    <w:rsid w:val="008F785F"/>
    <w:rsid w:val="00905632"/>
    <w:rsid w:val="0091051C"/>
    <w:rsid w:val="009140A3"/>
    <w:rsid w:val="00923E08"/>
    <w:rsid w:val="00926F25"/>
    <w:rsid w:val="00930454"/>
    <w:rsid w:val="0094303E"/>
    <w:rsid w:val="00947D0F"/>
    <w:rsid w:val="0095242D"/>
    <w:rsid w:val="009535BD"/>
    <w:rsid w:val="009566BD"/>
    <w:rsid w:val="00963520"/>
    <w:rsid w:val="00976944"/>
    <w:rsid w:val="00980689"/>
    <w:rsid w:val="00984D82"/>
    <w:rsid w:val="009879E3"/>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0CF9"/>
    <w:rsid w:val="00A018B4"/>
    <w:rsid w:val="00A02CCA"/>
    <w:rsid w:val="00A116B8"/>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11C"/>
    <w:rsid w:val="00AA6201"/>
    <w:rsid w:val="00AA685F"/>
    <w:rsid w:val="00AB1ECC"/>
    <w:rsid w:val="00AB2E0A"/>
    <w:rsid w:val="00AB6136"/>
    <w:rsid w:val="00AB7675"/>
    <w:rsid w:val="00AC2C10"/>
    <w:rsid w:val="00AC2D0B"/>
    <w:rsid w:val="00AC4A00"/>
    <w:rsid w:val="00AD3AEC"/>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2097F"/>
    <w:rsid w:val="00B3335C"/>
    <w:rsid w:val="00B34053"/>
    <w:rsid w:val="00B533C7"/>
    <w:rsid w:val="00B67AE8"/>
    <w:rsid w:val="00B75B42"/>
    <w:rsid w:val="00B761B2"/>
    <w:rsid w:val="00B86E76"/>
    <w:rsid w:val="00B930D1"/>
    <w:rsid w:val="00B944F9"/>
    <w:rsid w:val="00BA5425"/>
    <w:rsid w:val="00BB0377"/>
    <w:rsid w:val="00BC1106"/>
    <w:rsid w:val="00BC12BB"/>
    <w:rsid w:val="00BC1414"/>
    <w:rsid w:val="00BC429E"/>
    <w:rsid w:val="00BC4A9B"/>
    <w:rsid w:val="00BC5A00"/>
    <w:rsid w:val="00BC60F9"/>
    <w:rsid w:val="00BD3543"/>
    <w:rsid w:val="00BD51ED"/>
    <w:rsid w:val="00BD710E"/>
    <w:rsid w:val="00BF42BF"/>
    <w:rsid w:val="00BF6468"/>
    <w:rsid w:val="00BF652C"/>
    <w:rsid w:val="00BF7B31"/>
    <w:rsid w:val="00C02D13"/>
    <w:rsid w:val="00C11C0C"/>
    <w:rsid w:val="00C1207A"/>
    <w:rsid w:val="00C23C6B"/>
    <w:rsid w:val="00C313AE"/>
    <w:rsid w:val="00C31AE2"/>
    <w:rsid w:val="00C334E2"/>
    <w:rsid w:val="00C35075"/>
    <w:rsid w:val="00C360F9"/>
    <w:rsid w:val="00C36216"/>
    <w:rsid w:val="00C40C17"/>
    <w:rsid w:val="00C411C7"/>
    <w:rsid w:val="00C41EBD"/>
    <w:rsid w:val="00C4783F"/>
    <w:rsid w:val="00C575AF"/>
    <w:rsid w:val="00C60D02"/>
    <w:rsid w:val="00C6116F"/>
    <w:rsid w:val="00C75526"/>
    <w:rsid w:val="00C8198E"/>
    <w:rsid w:val="00C86F7E"/>
    <w:rsid w:val="00C9351E"/>
    <w:rsid w:val="00CA4015"/>
    <w:rsid w:val="00CA5237"/>
    <w:rsid w:val="00CA5785"/>
    <w:rsid w:val="00CA7E84"/>
    <w:rsid w:val="00CB405F"/>
    <w:rsid w:val="00CC4321"/>
    <w:rsid w:val="00CC4495"/>
    <w:rsid w:val="00CD6355"/>
    <w:rsid w:val="00CD6F3E"/>
    <w:rsid w:val="00CE1278"/>
    <w:rsid w:val="00CE1D12"/>
    <w:rsid w:val="00CE4907"/>
    <w:rsid w:val="00CE7B8C"/>
    <w:rsid w:val="00CF1B07"/>
    <w:rsid w:val="00CF1DDD"/>
    <w:rsid w:val="00CF73FA"/>
    <w:rsid w:val="00D04B6B"/>
    <w:rsid w:val="00D05557"/>
    <w:rsid w:val="00D05B70"/>
    <w:rsid w:val="00D115EE"/>
    <w:rsid w:val="00D12D8C"/>
    <w:rsid w:val="00D24025"/>
    <w:rsid w:val="00D245E5"/>
    <w:rsid w:val="00D27E1E"/>
    <w:rsid w:val="00D3038F"/>
    <w:rsid w:val="00D341B6"/>
    <w:rsid w:val="00D37806"/>
    <w:rsid w:val="00D40A89"/>
    <w:rsid w:val="00D42AE2"/>
    <w:rsid w:val="00D43F83"/>
    <w:rsid w:val="00D457D7"/>
    <w:rsid w:val="00D51D2A"/>
    <w:rsid w:val="00D51D37"/>
    <w:rsid w:val="00D52818"/>
    <w:rsid w:val="00D52866"/>
    <w:rsid w:val="00D53E9B"/>
    <w:rsid w:val="00D62891"/>
    <w:rsid w:val="00D7411F"/>
    <w:rsid w:val="00D767F8"/>
    <w:rsid w:val="00D77557"/>
    <w:rsid w:val="00D7755F"/>
    <w:rsid w:val="00D9366F"/>
    <w:rsid w:val="00D94C82"/>
    <w:rsid w:val="00DA0C3A"/>
    <w:rsid w:val="00DA2056"/>
    <w:rsid w:val="00DA43D8"/>
    <w:rsid w:val="00DA50E8"/>
    <w:rsid w:val="00DB3A19"/>
    <w:rsid w:val="00DB4C39"/>
    <w:rsid w:val="00DC10C1"/>
    <w:rsid w:val="00DC5AFE"/>
    <w:rsid w:val="00DC7113"/>
    <w:rsid w:val="00DD0620"/>
    <w:rsid w:val="00DD6593"/>
    <w:rsid w:val="00DD692F"/>
    <w:rsid w:val="00DE041B"/>
    <w:rsid w:val="00DE06D5"/>
    <w:rsid w:val="00DE3871"/>
    <w:rsid w:val="00DE4D4B"/>
    <w:rsid w:val="00DE5055"/>
    <w:rsid w:val="00DE5B3A"/>
    <w:rsid w:val="00DE63A1"/>
    <w:rsid w:val="00DF24AB"/>
    <w:rsid w:val="00DF7646"/>
    <w:rsid w:val="00E014B1"/>
    <w:rsid w:val="00E023F8"/>
    <w:rsid w:val="00E03624"/>
    <w:rsid w:val="00E07287"/>
    <w:rsid w:val="00E148E8"/>
    <w:rsid w:val="00E16C02"/>
    <w:rsid w:val="00E16F8B"/>
    <w:rsid w:val="00E1792B"/>
    <w:rsid w:val="00E224ED"/>
    <w:rsid w:val="00E2258E"/>
    <w:rsid w:val="00E234D4"/>
    <w:rsid w:val="00E23BCA"/>
    <w:rsid w:val="00E301F4"/>
    <w:rsid w:val="00E33D83"/>
    <w:rsid w:val="00E35CF1"/>
    <w:rsid w:val="00E47998"/>
    <w:rsid w:val="00E47F7E"/>
    <w:rsid w:val="00E50680"/>
    <w:rsid w:val="00E53CC4"/>
    <w:rsid w:val="00E57522"/>
    <w:rsid w:val="00E62B01"/>
    <w:rsid w:val="00E6738C"/>
    <w:rsid w:val="00E75EAB"/>
    <w:rsid w:val="00EA0F61"/>
    <w:rsid w:val="00EA3F3D"/>
    <w:rsid w:val="00EA4973"/>
    <w:rsid w:val="00EA6A54"/>
    <w:rsid w:val="00EB2C24"/>
    <w:rsid w:val="00EB46D2"/>
    <w:rsid w:val="00EC1131"/>
    <w:rsid w:val="00EC2B77"/>
    <w:rsid w:val="00EC58AC"/>
    <w:rsid w:val="00ED584C"/>
    <w:rsid w:val="00ED5C8F"/>
    <w:rsid w:val="00EF2BFE"/>
    <w:rsid w:val="00EF2C4C"/>
    <w:rsid w:val="00EF67DF"/>
    <w:rsid w:val="00F02386"/>
    <w:rsid w:val="00F0241D"/>
    <w:rsid w:val="00F031BC"/>
    <w:rsid w:val="00F0530E"/>
    <w:rsid w:val="00F219B5"/>
    <w:rsid w:val="00F21DC3"/>
    <w:rsid w:val="00F263F6"/>
    <w:rsid w:val="00F27848"/>
    <w:rsid w:val="00F366BA"/>
    <w:rsid w:val="00F414C7"/>
    <w:rsid w:val="00F467FA"/>
    <w:rsid w:val="00F55342"/>
    <w:rsid w:val="00F554C7"/>
    <w:rsid w:val="00F63392"/>
    <w:rsid w:val="00F64BEB"/>
    <w:rsid w:val="00F675D9"/>
    <w:rsid w:val="00F67A8A"/>
    <w:rsid w:val="00F71EA6"/>
    <w:rsid w:val="00F7465F"/>
    <w:rsid w:val="00F80656"/>
    <w:rsid w:val="00F8232A"/>
    <w:rsid w:val="00F90D61"/>
    <w:rsid w:val="00F9278F"/>
    <w:rsid w:val="00FA4088"/>
    <w:rsid w:val="00FB2DC1"/>
    <w:rsid w:val="00FB35EC"/>
    <w:rsid w:val="00FB6EDF"/>
    <w:rsid w:val="00FC1F03"/>
    <w:rsid w:val="00FC2479"/>
    <w:rsid w:val="00FC3C7D"/>
    <w:rsid w:val="00FC732B"/>
    <w:rsid w:val="00FD5263"/>
    <w:rsid w:val="00FE16B9"/>
    <w:rsid w:val="00FE5B61"/>
    <w:rsid w:val="00FF1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34BDCF68"/>
  <w15:docId w15:val="{07EF7538-325A-4274-8D4A-751E24EFB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 w:type="character" w:styleId="CommentReference">
    <w:name w:val="annotation reference"/>
    <w:basedOn w:val="DefaultParagraphFont"/>
    <w:semiHidden/>
    <w:unhideWhenUsed/>
    <w:rsid w:val="00D42AE2"/>
    <w:rPr>
      <w:sz w:val="16"/>
      <w:szCs w:val="16"/>
    </w:rPr>
  </w:style>
  <w:style w:type="paragraph" w:styleId="CommentText">
    <w:name w:val="annotation text"/>
    <w:basedOn w:val="Normal"/>
    <w:link w:val="CommentTextChar"/>
    <w:semiHidden/>
    <w:unhideWhenUsed/>
    <w:rsid w:val="00D42AE2"/>
    <w:rPr>
      <w:sz w:val="20"/>
    </w:rPr>
  </w:style>
  <w:style w:type="character" w:customStyle="1" w:styleId="CommentTextChar">
    <w:name w:val="Comment Text Char"/>
    <w:basedOn w:val="DefaultParagraphFont"/>
    <w:link w:val="CommentText"/>
    <w:semiHidden/>
    <w:rsid w:val="00D42AE2"/>
    <w:rPr>
      <w:rFonts w:ascii="Officina Sans ITC TT" w:hAnsi="Officina Sans ITC TT"/>
      <w:lang w:eastAsia="en-US"/>
    </w:rPr>
  </w:style>
  <w:style w:type="paragraph" w:styleId="CommentSubject">
    <w:name w:val="annotation subject"/>
    <w:basedOn w:val="CommentText"/>
    <w:next w:val="CommentText"/>
    <w:link w:val="CommentSubjectChar"/>
    <w:semiHidden/>
    <w:unhideWhenUsed/>
    <w:rsid w:val="00D42AE2"/>
    <w:rPr>
      <w:b/>
      <w:bCs/>
    </w:rPr>
  </w:style>
  <w:style w:type="character" w:customStyle="1" w:styleId="CommentSubjectChar">
    <w:name w:val="Comment Subject Char"/>
    <w:basedOn w:val="CommentTextChar"/>
    <w:link w:val="CommentSubject"/>
    <w:semiHidden/>
    <w:rsid w:val="00D42AE2"/>
    <w:rPr>
      <w:rFonts w:ascii="Officina Sans ITC TT" w:hAnsi="Officina Sans ITC TT"/>
      <w:b/>
      <w:bCs/>
      <w:lang w:eastAsia="en-US"/>
    </w:rPr>
  </w:style>
  <w:style w:type="paragraph" w:styleId="Revision">
    <w:name w:val="Revision"/>
    <w:hidden/>
    <w:uiPriority w:val="99"/>
    <w:semiHidden/>
    <w:rsid w:val="00061B01"/>
    <w:rPr>
      <w:rFonts w:ascii="Officina Sans ITC TT" w:hAnsi="Officina Sans ITC TT"/>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40666">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4">
          <w:marLeft w:val="0"/>
          <w:marRight w:val="0"/>
          <w:marTop w:val="0"/>
          <w:marBottom w:val="0"/>
          <w:divBdr>
            <w:top w:val="none" w:sz="0" w:space="0" w:color="auto"/>
            <w:left w:val="none" w:sz="0" w:space="0" w:color="auto"/>
            <w:bottom w:val="none" w:sz="0" w:space="0" w:color="auto"/>
            <w:right w:val="none" w:sz="0" w:space="0" w:color="auto"/>
          </w:divBdr>
          <w:divsChild>
            <w:div w:id="852913726">
              <w:marLeft w:val="0"/>
              <w:marRight w:val="0"/>
              <w:marTop w:val="0"/>
              <w:marBottom w:val="0"/>
              <w:divBdr>
                <w:top w:val="none" w:sz="0" w:space="0" w:color="auto"/>
                <w:left w:val="none" w:sz="0" w:space="0" w:color="auto"/>
                <w:bottom w:val="none" w:sz="0" w:space="0" w:color="auto"/>
                <w:right w:val="none" w:sz="0" w:space="0" w:color="auto"/>
              </w:divBdr>
              <w:divsChild>
                <w:div w:id="1950118618">
                  <w:marLeft w:val="0"/>
                  <w:marRight w:val="0"/>
                  <w:marTop w:val="0"/>
                  <w:marBottom w:val="0"/>
                  <w:divBdr>
                    <w:top w:val="none" w:sz="0" w:space="0" w:color="auto"/>
                    <w:left w:val="none" w:sz="0" w:space="0" w:color="auto"/>
                    <w:bottom w:val="none" w:sz="0" w:space="0" w:color="auto"/>
                    <w:right w:val="none" w:sz="0" w:space="0" w:color="auto"/>
                  </w:divBdr>
                  <w:divsChild>
                    <w:div w:id="444925008">
                      <w:marLeft w:val="0"/>
                      <w:marRight w:val="0"/>
                      <w:marTop w:val="300"/>
                      <w:marBottom w:val="300"/>
                      <w:divBdr>
                        <w:top w:val="none" w:sz="0" w:space="0" w:color="auto"/>
                        <w:left w:val="none" w:sz="0" w:space="0" w:color="auto"/>
                        <w:bottom w:val="none" w:sz="0" w:space="0" w:color="auto"/>
                        <w:right w:val="none" w:sz="0" w:space="0" w:color="auto"/>
                      </w:divBdr>
                      <w:divsChild>
                        <w:div w:id="1335064445">
                          <w:marLeft w:val="-225"/>
                          <w:marRight w:val="-225"/>
                          <w:marTop w:val="0"/>
                          <w:marBottom w:val="0"/>
                          <w:divBdr>
                            <w:top w:val="none" w:sz="0" w:space="0" w:color="auto"/>
                            <w:left w:val="none" w:sz="0" w:space="0" w:color="auto"/>
                            <w:bottom w:val="none" w:sz="0" w:space="0" w:color="auto"/>
                            <w:right w:val="none" w:sz="0" w:space="0" w:color="auto"/>
                          </w:divBdr>
                          <w:divsChild>
                            <w:div w:id="804740558">
                              <w:marLeft w:val="0"/>
                              <w:marRight w:val="0"/>
                              <w:marTop w:val="0"/>
                              <w:marBottom w:val="0"/>
                              <w:divBdr>
                                <w:top w:val="none" w:sz="0" w:space="0" w:color="auto"/>
                                <w:left w:val="none" w:sz="0" w:space="0" w:color="auto"/>
                                <w:bottom w:val="none" w:sz="0" w:space="0" w:color="auto"/>
                                <w:right w:val="none" w:sz="0" w:space="0" w:color="auto"/>
                              </w:divBdr>
                              <w:divsChild>
                                <w:div w:id="389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510429">
      <w:bodyDiv w:val="1"/>
      <w:marLeft w:val="0"/>
      <w:marRight w:val="0"/>
      <w:marTop w:val="0"/>
      <w:marBottom w:val="0"/>
      <w:divBdr>
        <w:top w:val="none" w:sz="0" w:space="0" w:color="auto"/>
        <w:left w:val="none" w:sz="0" w:space="0" w:color="auto"/>
        <w:bottom w:val="none" w:sz="0" w:space="0" w:color="auto"/>
        <w:right w:val="none" w:sz="0" w:space="0" w:color="auto"/>
      </w:divBdr>
    </w:div>
    <w:div w:id="449132764">
      <w:bodyDiv w:val="1"/>
      <w:marLeft w:val="0"/>
      <w:marRight w:val="0"/>
      <w:marTop w:val="0"/>
      <w:marBottom w:val="0"/>
      <w:divBdr>
        <w:top w:val="none" w:sz="0" w:space="0" w:color="auto"/>
        <w:left w:val="none" w:sz="0" w:space="0" w:color="auto"/>
        <w:bottom w:val="none" w:sz="0" w:space="0" w:color="auto"/>
        <w:right w:val="none" w:sz="0" w:space="0" w:color="auto"/>
      </w:divBdr>
    </w:div>
    <w:div w:id="619605050">
      <w:bodyDiv w:val="1"/>
      <w:marLeft w:val="0"/>
      <w:marRight w:val="0"/>
      <w:marTop w:val="0"/>
      <w:marBottom w:val="0"/>
      <w:divBdr>
        <w:top w:val="none" w:sz="0" w:space="0" w:color="auto"/>
        <w:left w:val="none" w:sz="0" w:space="0" w:color="auto"/>
        <w:bottom w:val="none" w:sz="0" w:space="0" w:color="auto"/>
        <w:right w:val="none" w:sz="0" w:space="0" w:color="auto"/>
      </w:divBdr>
    </w:div>
    <w:div w:id="725640994">
      <w:bodyDiv w:val="1"/>
      <w:marLeft w:val="0"/>
      <w:marRight w:val="0"/>
      <w:marTop w:val="0"/>
      <w:marBottom w:val="0"/>
      <w:divBdr>
        <w:top w:val="none" w:sz="0" w:space="0" w:color="auto"/>
        <w:left w:val="none" w:sz="0" w:space="0" w:color="auto"/>
        <w:bottom w:val="none" w:sz="0" w:space="0" w:color="auto"/>
        <w:right w:val="none" w:sz="0" w:space="0" w:color="auto"/>
      </w:divBdr>
    </w:div>
    <w:div w:id="1124694811">
      <w:bodyDiv w:val="1"/>
      <w:marLeft w:val="0"/>
      <w:marRight w:val="0"/>
      <w:marTop w:val="0"/>
      <w:marBottom w:val="0"/>
      <w:divBdr>
        <w:top w:val="none" w:sz="0" w:space="0" w:color="auto"/>
        <w:left w:val="none" w:sz="0" w:space="0" w:color="auto"/>
        <w:bottom w:val="none" w:sz="0" w:space="0" w:color="auto"/>
        <w:right w:val="none" w:sz="0" w:space="0" w:color="auto"/>
      </w:divBdr>
    </w:div>
    <w:div w:id="185376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phen.boon@londoncouncils.gov.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34C04-D079-4BAF-AFAA-51295886B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1427</Words>
  <Characters>7756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Hughes</dc:creator>
  <cp:lastModifiedBy>Fatmira Hoxha</cp:lastModifiedBy>
  <cp:revision>6</cp:revision>
  <cp:lastPrinted>2018-02-22T10:21:00Z</cp:lastPrinted>
  <dcterms:created xsi:type="dcterms:W3CDTF">2021-11-30T09:30:00Z</dcterms:created>
  <dcterms:modified xsi:type="dcterms:W3CDTF">2022-01-27T08:21:00Z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da12b6caf17f4d8191fdc0290da92a33</vt:lpwstr>
  </property>
  <property fmtid="{D5CDD505-2E9C-101B-9397-08002B2CF9AE}" pid="3" name="SW-FINGERPRINT">
    <vt:lpwstr/>
  </property>
</Properties>
</file>